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B088377" w14:textId="3815F758" w:rsidR="00DB1AD1" w:rsidRDefault="00DB1AD1">
      <w:pPr>
        <w:pStyle w:val="Default"/>
        <w:suppressAutoHyphens/>
        <w:spacing w:before="0" w:after="133" w:line="373" w:lineRule="atLeast"/>
        <w:jc w:val="both"/>
        <w:rPr>
          <w:rFonts w:ascii="Times New Roman" w:hAnsi="Times New Roman"/>
          <w:b/>
          <w:bCs/>
          <w:sz w:val="28"/>
          <w:szCs w:val="28"/>
        </w:rPr>
      </w:pPr>
      <w:r>
        <w:rPr>
          <w:rFonts w:ascii="Times New Roman" w:hAnsi="Times New Roman"/>
          <w:b/>
          <w:bCs/>
          <w:sz w:val="28"/>
          <w:szCs w:val="28"/>
        </w:rPr>
        <w:t>Report-Region 9 Director</w:t>
      </w:r>
    </w:p>
    <w:p w14:paraId="35011BC3" w14:textId="23D0598F" w:rsidR="00E26C18" w:rsidRDefault="00000000">
      <w:pPr>
        <w:pStyle w:val="Default"/>
        <w:suppressAutoHyphens/>
        <w:spacing w:before="0" w:after="133" w:line="373" w:lineRule="atLeast"/>
        <w:jc w:val="both"/>
        <w:rPr>
          <w:rFonts w:ascii="Times New Roman" w:eastAsia="Times New Roman" w:hAnsi="Times New Roman" w:cs="Times New Roman"/>
          <w:b/>
          <w:bCs/>
          <w:sz w:val="37"/>
          <w:szCs w:val="37"/>
        </w:rPr>
      </w:pPr>
      <w:r>
        <w:rPr>
          <w:rFonts w:ascii="Times New Roman" w:hAnsi="Times New Roman"/>
          <w:b/>
          <w:bCs/>
          <w:sz w:val="28"/>
          <w:szCs w:val="28"/>
        </w:rPr>
        <w:t xml:space="preserve">ACBL NATIONAL BOARD REPORT: SUMMER 2026 </w:t>
      </w:r>
    </w:p>
    <w:p w14:paraId="0692D339" w14:textId="77777777" w:rsidR="00E26C18" w:rsidRDefault="00000000">
      <w:pPr>
        <w:pStyle w:val="Default"/>
        <w:suppressAutoHyphens/>
        <w:spacing w:before="0" w:after="281" w:line="240" w:lineRule="auto"/>
        <w:rPr>
          <w:rFonts w:ascii="Times Roman" w:eastAsia="Times Roman" w:hAnsi="Times Roman" w:cs="Times Roman"/>
        </w:rPr>
      </w:pPr>
      <w:r>
        <w:rPr>
          <w:rFonts w:ascii="Times Roman" w:hAnsi="Times Roman"/>
        </w:rPr>
        <w:t xml:space="preserve">The ACBL Board of Directors held its summer in-person meetings in Minneapolis Monday, July 6 through early Thursday, July 9.  The Board, Committees, and Task Forces continue to meet regularly online via Microsoft Teams and Zoom. </w:t>
      </w:r>
    </w:p>
    <w:p w14:paraId="49BDDAD8" w14:textId="77777777" w:rsidR="00E26C18" w:rsidRDefault="00000000">
      <w:pPr>
        <w:pStyle w:val="Default"/>
        <w:suppressAutoHyphens/>
        <w:spacing w:before="0" w:after="281" w:line="240" w:lineRule="auto"/>
        <w:rPr>
          <w:rFonts w:ascii="Times Roman" w:eastAsia="Times Roman" w:hAnsi="Times Roman" w:cs="Times Roman"/>
          <w:b/>
          <w:bCs/>
          <w:sz w:val="28"/>
          <w:szCs w:val="28"/>
        </w:rPr>
      </w:pPr>
      <w:r>
        <w:rPr>
          <w:rFonts w:ascii="Times Roman" w:hAnsi="Times Roman"/>
          <w:b/>
          <w:bCs/>
          <w:sz w:val="28"/>
          <w:szCs w:val="28"/>
        </w:rPr>
        <w:t>FINANCIALS</w:t>
      </w:r>
    </w:p>
    <w:p w14:paraId="13815F99" w14:textId="77777777" w:rsidR="00E26C18" w:rsidRDefault="00000000">
      <w:pPr>
        <w:pStyle w:val="Default"/>
        <w:suppressAutoHyphens/>
        <w:spacing w:before="0" w:after="240" w:line="240" w:lineRule="auto"/>
        <w:rPr>
          <w:rFonts w:ascii="Times Roman" w:eastAsia="Times Roman" w:hAnsi="Times Roman" w:cs="Times Roman"/>
        </w:rPr>
      </w:pPr>
      <w:r>
        <w:rPr>
          <w:rFonts w:ascii="Times Roman" w:hAnsi="Times Roman"/>
        </w:rPr>
        <w:t>Performance through May 2026 shows strong operational results, with net assets increasing by $792K year-to-date—performing $1.33M ahead of the budgeted $536K deficit—bringing total net assets to $13.37M.</w:t>
      </w:r>
    </w:p>
    <w:p w14:paraId="653D1CDD" w14:textId="77777777" w:rsidR="00E26C18" w:rsidRDefault="00000000">
      <w:pPr>
        <w:pStyle w:val="Default"/>
        <w:suppressAutoHyphens/>
        <w:spacing w:before="0" w:after="240" w:line="240" w:lineRule="auto"/>
        <w:rPr>
          <w:rFonts w:ascii="Times Roman" w:eastAsia="Times Roman" w:hAnsi="Times Roman" w:cs="Times Roman"/>
        </w:rPr>
      </w:pPr>
      <w:r>
        <w:rPr>
          <w:rFonts w:ascii="Times Roman" w:hAnsi="Times Roman"/>
        </w:rPr>
        <w:t>Operating revenue reached $6.99M, finishing $545K ahead of budget. NABC revenue performed particularly well, finishing $196K over budget at $791K (supported by attendance exceeding projections by 1,745 tables). While direct NABC expenses ran $128K over budget at $982K (resulting in a direct net cost of $190K), strong top-line performance helped narrow that net cost compared to projections. Additional momentum came from club revenues (+$104K), membership dues (+$99K), and regional tournaments (+$93K).</w:t>
      </w:r>
    </w:p>
    <w:p w14:paraId="74893189" w14:textId="77777777" w:rsidR="00E26C18" w:rsidRDefault="00000000">
      <w:pPr>
        <w:pStyle w:val="Default"/>
        <w:suppressAutoHyphens/>
        <w:spacing w:before="0" w:after="240" w:line="240" w:lineRule="auto"/>
        <w:rPr>
          <w:rFonts w:ascii="Times Roman" w:eastAsia="Times Roman" w:hAnsi="Times Roman" w:cs="Times Roman"/>
        </w:rPr>
      </w:pPr>
      <w:r>
        <w:rPr>
          <w:rFonts w:ascii="Times Roman" w:hAnsi="Times Roman"/>
        </w:rPr>
        <w:t xml:space="preserve">Disciplined expense management kept total costs well below budget. Operating expenses finished $218K under budget, aided by lower </w:t>
      </w:r>
      <w:r>
        <w:rPr>
          <w:rFonts w:ascii="Times Roman" w:hAnsi="Times Roman"/>
          <w:i/>
          <w:iCs/>
        </w:rPr>
        <w:t xml:space="preserve">ACBL Bridge Bulletin </w:t>
      </w:r>
      <w:r>
        <w:rPr>
          <w:rFonts w:ascii="Times Roman" w:hAnsi="Times Roman"/>
        </w:rPr>
        <w:t>production costs and favorable spend timing in Marketing &amp; Education. Administrative expenses finished $135K below budget, supported by favorable foreign exchange results (+$123K). Overall operational expenses totaled $6.69M against a budget of $7.04M, securing a positive change in net assets from operations of $299K.</w:t>
      </w:r>
    </w:p>
    <w:p w14:paraId="4E3E3A26" w14:textId="57B4FD36" w:rsidR="00E26C18" w:rsidRDefault="00000000">
      <w:pPr>
        <w:pStyle w:val="Default"/>
        <w:suppressAutoHyphens/>
        <w:spacing w:before="0" w:after="240" w:line="240" w:lineRule="auto"/>
        <w:rPr>
          <w:rFonts w:ascii="Times Roman" w:eastAsia="Times Roman" w:hAnsi="Times Roman" w:cs="Times Roman"/>
        </w:rPr>
      </w:pPr>
      <w:r>
        <w:rPr>
          <w:rFonts w:ascii="Times Roman" w:hAnsi="Times Roman"/>
        </w:rPr>
        <w:t xml:space="preserve">Strategic investments in core infrastructure remain on track. Capital expenditures totaled $260K year-to-date against a full-year budget of $780K. The vast majority ($246K) went toward the AS400 back-office modernization project—bringing total project-to-date investment to $1.75M—to continue strengthening scorekeeping and </w:t>
      </w:r>
      <w:r w:rsidR="00A31E54">
        <w:rPr>
          <w:rFonts w:ascii="Times Roman" w:hAnsi="Times Roman"/>
        </w:rPr>
        <w:t>M</w:t>
      </w:r>
      <w:r>
        <w:rPr>
          <w:rFonts w:ascii="Times Roman" w:hAnsi="Times Roman"/>
        </w:rPr>
        <w:t>embership infrastructure for the future.</w:t>
      </w:r>
    </w:p>
    <w:p w14:paraId="44499481" w14:textId="77777777" w:rsidR="00E26C18" w:rsidRDefault="00000000">
      <w:pPr>
        <w:pStyle w:val="Default"/>
        <w:suppressAutoHyphens/>
        <w:spacing w:before="0" w:line="240" w:lineRule="auto"/>
        <w:rPr>
          <w:rFonts w:ascii="Times Roman" w:eastAsia="Times Roman" w:hAnsi="Times Roman" w:cs="Times Roman"/>
        </w:rPr>
      </w:pPr>
      <w:r>
        <w:rPr>
          <w:rFonts w:ascii="Times Roman" w:hAnsi="Times Roman"/>
        </w:rPr>
        <w:t>The investment portfolio is held at Vanguard and remains aligned with the target allocation of 25% equities and 75% cash and fixed income. The Finance Committee continues to review the portfolio quarterly and rebalance as necessary to maintain the target allocation.</w:t>
      </w:r>
    </w:p>
    <w:p w14:paraId="55D2E464" w14:textId="77777777" w:rsidR="00E26C18" w:rsidRDefault="00E26C18">
      <w:pPr>
        <w:pStyle w:val="Default"/>
        <w:suppressAutoHyphens/>
        <w:spacing w:before="0" w:line="240" w:lineRule="auto"/>
        <w:rPr>
          <w:rFonts w:ascii="Times Roman" w:eastAsia="Times Roman" w:hAnsi="Times Roman" w:cs="Times Roman"/>
        </w:rPr>
      </w:pPr>
    </w:p>
    <w:p w14:paraId="61EEEA83" w14:textId="77777777" w:rsidR="00E26C18" w:rsidRDefault="00000000">
      <w:pPr>
        <w:pStyle w:val="Default"/>
        <w:suppressAutoHyphens/>
        <w:spacing w:before="0" w:line="240" w:lineRule="auto"/>
        <w:rPr>
          <w:rFonts w:ascii="Times New Roman" w:eastAsia="Times New Roman" w:hAnsi="Times New Roman" w:cs="Times New Roman"/>
          <w:b/>
          <w:bCs/>
          <w:sz w:val="28"/>
          <w:szCs w:val="28"/>
        </w:rPr>
      </w:pPr>
      <w:r>
        <w:rPr>
          <w:rFonts w:ascii="Times New Roman" w:hAnsi="Times New Roman"/>
          <w:b/>
          <w:bCs/>
          <w:sz w:val="28"/>
          <w:szCs w:val="28"/>
        </w:rPr>
        <w:t xml:space="preserve">AUDIT COMMITTEE  </w:t>
      </w:r>
    </w:p>
    <w:p w14:paraId="25A79E53" w14:textId="77777777" w:rsidR="00E26C18" w:rsidRDefault="00E26C18">
      <w:pPr>
        <w:pStyle w:val="Default"/>
        <w:suppressAutoHyphens/>
        <w:spacing w:before="0" w:line="240" w:lineRule="auto"/>
        <w:rPr>
          <w:rFonts w:ascii="Times New Roman" w:eastAsia="Times New Roman" w:hAnsi="Times New Roman" w:cs="Times New Roman"/>
          <w:sz w:val="28"/>
          <w:szCs w:val="28"/>
        </w:rPr>
      </w:pPr>
    </w:p>
    <w:p w14:paraId="2A719DDC" w14:textId="77777777" w:rsidR="00E26C18" w:rsidRDefault="00000000">
      <w:pPr>
        <w:pStyle w:val="Default"/>
        <w:suppressAutoHyphens/>
        <w:spacing w:before="0" w:line="240" w:lineRule="auto"/>
        <w:rPr>
          <w:rFonts w:ascii="Times Roman" w:eastAsia="Times Roman" w:hAnsi="Times Roman" w:cs="Times Roman"/>
        </w:rPr>
      </w:pPr>
      <w:r>
        <w:rPr>
          <w:rFonts w:ascii="Times Roman" w:hAnsi="Times Roman"/>
        </w:rPr>
        <w:t>The Audit Committee Chair reported that the ACBL received a clean, unqualified audit opinion. They noted improvements to the presentation of the audited financial statements, which provide greater transparency regarding expense categories. The Board acknowledged and confirmed receipt of the Audit Report without objection.</w:t>
      </w:r>
    </w:p>
    <w:p w14:paraId="63C1D43E" w14:textId="77777777" w:rsidR="00E26C18" w:rsidRDefault="00E26C18">
      <w:pPr>
        <w:pStyle w:val="Default"/>
        <w:suppressAutoHyphens/>
        <w:spacing w:before="0" w:line="240" w:lineRule="auto"/>
        <w:rPr>
          <w:rFonts w:ascii="Times New Roman" w:eastAsia="Times New Roman" w:hAnsi="Times New Roman" w:cs="Times New Roman"/>
          <w:sz w:val="28"/>
          <w:szCs w:val="28"/>
        </w:rPr>
      </w:pPr>
    </w:p>
    <w:p w14:paraId="1DF827C4" w14:textId="77777777" w:rsidR="00E26C18" w:rsidRDefault="00000000">
      <w:pPr>
        <w:pStyle w:val="Default"/>
        <w:suppressAutoHyphens/>
        <w:spacing w:before="0" w:line="240" w:lineRule="auto"/>
        <w:rPr>
          <w:rFonts w:ascii="Times New Roman" w:eastAsia="Times New Roman" w:hAnsi="Times New Roman" w:cs="Times New Roman"/>
        </w:rPr>
      </w:pPr>
      <w:r w:rsidRPr="004D28B8">
        <w:rPr>
          <w:rFonts w:ascii="Times New Roman" w:hAnsi="Times New Roman"/>
          <w:b/>
          <w:bCs/>
        </w:rPr>
        <w:t>Motion 262-FN04</w:t>
      </w:r>
      <w:r>
        <w:rPr>
          <w:rFonts w:ascii="Times New Roman" w:hAnsi="Times New Roman"/>
          <w:b/>
          <w:bCs/>
        </w:rPr>
        <w:t xml:space="preserve"> </w:t>
      </w:r>
      <w:r>
        <w:rPr>
          <w:rFonts w:ascii="Times New Roman" w:hAnsi="Times New Roman"/>
        </w:rPr>
        <w:t>clarifies that the Annual Independent Audit will include the auditor</w:t>
      </w:r>
      <w:r>
        <w:rPr>
          <w:rFonts w:ascii="Times New Roman" w:hAnsi="Times New Roman"/>
          <w:rtl/>
        </w:rPr>
        <w:t>’</w:t>
      </w:r>
      <w:r>
        <w:rPr>
          <w:rFonts w:ascii="Times New Roman" w:hAnsi="Times New Roman"/>
        </w:rPr>
        <w:t xml:space="preserve">s opinion, complete financial statements, and accompanying notes. To maintain transparency for the </w:t>
      </w:r>
      <w:r>
        <w:rPr>
          <w:rFonts w:ascii="Times New Roman" w:hAnsi="Times New Roman"/>
        </w:rPr>
        <w:lastRenderedPageBreak/>
        <w:t xml:space="preserve">Membership, the audit will be published on the ACBL website, establishing a new strict timeline of within two weeks of receipt by the Board. A summary of the audited financial statements will continue to be published in the </w:t>
      </w:r>
      <w:r>
        <w:rPr>
          <w:rFonts w:ascii="Times New Roman" w:hAnsi="Times New Roman"/>
          <w:i/>
          <w:iCs/>
        </w:rPr>
        <w:t>ACBL Bridge Bulletin</w:t>
      </w:r>
      <w:r>
        <w:rPr>
          <w:rFonts w:ascii="Times New Roman" w:hAnsi="Times New Roman"/>
        </w:rPr>
        <w:t>.</w:t>
      </w:r>
    </w:p>
    <w:p w14:paraId="541A4A7E" w14:textId="77777777" w:rsidR="00E26C18" w:rsidRDefault="00E26C18">
      <w:pPr>
        <w:pStyle w:val="Default"/>
        <w:suppressAutoHyphens/>
        <w:spacing w:before="0" w:line="240" w:lineRule="auto"/>
        <w:rPr>
          <w:rFonts w:ascii="Times New Roman" w:eastAsia="Times New Roman" w:hAnsi="Times New Roman" w:cs="Times New Roman"/>
        </w:rPr>
      </w:pPr>
    </w:p>
    <w:p w14:paraId="0FA897C5" w14:textId="1CF6F8BD" w:rsidR="00E26C18" w:rsidRDefault="00000000">
      <w:pPr>
        <w:pStyle w:val="Default"/>
        <w:suppressAutoHyphens/>
        <w:spacing w:before="0" w:line="240" w:lineRule="auto"/>
        <w:rPr>
          <w:rFonts w:ascii="Times New Roman" w:eastAsia="Times New Roman" w:hAnsi="Times New Roman" w:cs="Times New Roman"/>
        </w:rPr>
      </w:pPr>
      <w:r>
        <w:rPr>
          <w:rFonts w:ascii="Times New Roman" w:hAnsi="Times New Roman"/>
        </w:rPr>
        <w:t>Audit reports are located on the ACBL website - ACBL.org</w:t>
      </w:r>
      <w:r w:rsidRPr="004D28B8">
        <w:rPr>
          <w:rFonts w:ascii="Times New Roman" w:hAnsi="Times New Roman"/>
        </w:rPr>
        <w:t xml:space="preserve"> </w:t>
      </w:r>
      <w:r w:rsidR="00A31E54" w:rsidRPr="004D28B8">
        <w:rPr>
          <w:rFonts w:ascii="Times New Roman" w:hAnsi="Times New Roman"/>
        </w:rPr>
        <w:t>&gt;</w:t>
      </w:r>
      <w:r>
        <w:rPr>
          <w:rFonts w:ascii="Times New Roman" w:hAnsi="Times New Roman"/>
        </w:rPr>
        <w:t>Menu &gt; About ACBL &gt; Our Organization &gt; Financial Statements.</w:t>
      </w:r>
    </w:p>
    <w:p w14:paraId="51D32BCB" w14:textId="77777777" w:rsidR="00E26C18" w:rsidRDefault="00E26C18">
      <w:pPr>
        <w:pStyle w:val="Default"/>
        <w:suppressAutoHyphens/>
        <w:spacing w:before="0" w:line="240" w:lineRule="auto"/>
        <w:rPr>
          <w:rFonts w:ascii="Times New Roman" w:eastAsia="Times New Roman" w:hAnsi="Times New Roman" w:cs="Times New Roman"/>
        </w:rPr>
      </w:pPr>
    </w:p>
    <w:p w14:paraId="75858817" w14:textId="77777777" w:rsidR="00E26C18" w:rsidRDefault="00000000">
      <w:pPr>
        <w:pStyle w:val="Default"/>
        <w:suppressAutoHyphens/>
        <w:spacing w:before="0" w:line="240" w:lineRule="auto"/>
        <w:rPr>
          <w:rFonts w:ascii="Times New Roman" w:eastAsia="Times New Roman" w:hAnsi="Times New Roman" w:cs="Times New Roman"/>
          <w:b/>
          <w:bCs/>
          <w:sz w:val="28"/>
          <w:szCs w:val="28"/>
        </w:rPr>
      </w:pPr>
      <w:r>
        <w:rPr>
          <w:rFonts w:ascii="Times New Roman" w:hAnsi="Times New Roman"/>
          <w:b/>
          <w:bCs/>
          <w:sz w:val="28"/>
          <w:szCs w:val="28"/>
        </w:rPr>
        <w:t xml:space="preserve">MEMBERSHIP </w:t>
      </w:r>
    </w:p>
    <w:p w14:paraId="1EC2C8A7" w14:textId="77777777" w:rsidR="00E26C18" w:rsidRDefault="00E26C18">
      <w:pPr>
        <w:pStyle w:val="Default"/>
        <w:suppressAutoHyphens/>
        <w:spacing w:before="0" w:line="240" w:lineRule="auto"/>
        <w:rPr>
          <w:rFonts w:ascii="Times New Roman" w:eastAsia="Times New Roman" w:hAnsi="Times New Roman" w:cs="Times New Roman"/>
          <w:sz w:val="28"/>
          <w:szCs w:val="28"/>
        </w:rPr>
      </w:pPr>
    </w:p>
    <w:p w14:paraId="31987088" w14:textId="2F78815D" w:rsidR="00E26C18" w:rsidRDefault="00000000">
      <w:pPr>
        <w:pStyle w:val="Default"/>
        <w:suppressAutoHyphens/>
        <w:spacing w:before="0" w:line="240" w:lineRule="auto"/>
        <w:rPr>
          <w:rFonts w:ascii="Times New Roman" w:eastAsia="Times New Roman" w:hAnsi="Times New Roman" w:cs="Times New Roman"/>
          <w:shd w:val="clear" w:color="auto" w:fill="FFFFFF"/>
        </w:rPr>
      </w:pPr>
      <w:r>
        <w:rPr>
          <w:rFonts w:ascii="Times New Roman" w:hAnsi="Times New Roman"/>
          <w:shd w:val="clear" w:color="auto" w:fill="FFFFFF"/>
        </w:rPr>
        <w:t xml:space="preserve">The June 2026 report indicates a 6.09% decline in total </w:t>
      </w:r>
      <w:r w:rsidR="00A31E54">
        <w:rPr>
          <w:rFonts w:ascii="Times New Roman" w:hAnsi="Times New Roman"/>
          <w:shd w:val="clear" w:color="auto" w:fill="FFFFFF"/>
        </w:rPr>
        <w:t>M</w:t>
      </w:r>
      <w:r>
        <w:rPr>
          <w:rFonts w:ascii="Times New Roman" w:hAnsi="Times New Roman"/>
          <w:shd w:val="clear" w:color="auto" w:fill="FFFFFF"/>
        </w:rPr>
        <w:t>embership, falling from 121,915 last year in June to 114,493.</w:t>
      </w:r>
    </w:p>
    <w:p w14:paraId="4021DE48" w14:textId="77777777" w:rsidR="00E26C18" w:rsidRDefault="00E26C18">
      <w:pPr>
        <w:pStyle w:val="Default"/>
        <w:suppressAutoHyphens/>
        <w:spacing w:before="0" w:line="240" w:lineRule="auto"/>
        <w:rPr>
          <w:rFonts w:ascii="Times New Roman" w:eastAsia="Times New Roman" w:hAnsi="Times New Roman" w:cs="Times New Roman"/>
          <w:shd w:val="clear" w:color="auto" w:fill="FFFFFF"/>
        </w:rPr>
      </w:pPr>
    </w:p>
    <w:p w14:paraId="6E5957EE" w14:textId="3DBEB4A0" w:rsidR="00E26C18" w:rsidRDefault="00000000">
      <w:pPr>
        <w:pStyle w:val="Default"/>
        <w:suppressAutoHyphens/>
        <w:spacing w:before="0" w:line="240" w:lineRule="auto"/>
        <w:rPr>
          <w:rFonts w:ascii="Times New Roman" w:eastAsia="Times New Roman" w:hAnsi="Times New Roman" w:cs="Times New Roman"/>
          <w:shd w:val="clear" w:color="auto" w:fill="FFFFFF"/>
        </w:rPr>
      </w:pPr>
      <w:r>
        <w:rPr>
          <w:rFonts w:ascii="Times New Roman" w:hAnsi="Times New Roman"/>
          <w:shd w:val="clear" w:color="auto" w:fill="FFFFFF"/>
        </w:rPr>
        <w:t xml:space="preserve">This is accompanied by a dip in new </w:t>
      </w:r>
      <w:r w:rsidR="00A31E54">
        <w:rPr>
          <w:rFonts w:ascii="Times New Roman" w:hAnsi="Times New Roman"/>
          <w:shd w:val="clear" w:color="auto" w:fill="FFFFFF"/>
        </w:rPr>
        <w:t>M</w:t>
      </w:r>
      <w:r>
        <w:rPr>
          <w:rFonts w:ascii="Times New Roman" w:hAnsi="Times New Roman"/>
          <w:shd w:val="clear" w:color="auto" w:fill="FFFFFF"/>
        </w:rPr>
        <w:t xml:space="preserve">ember acquisition; year-to-date sign-ups reached 1,907, down from 3,744 in 2025 (-49.07%). However, these figures are balanced by a significant expansion in new guest memberships, which rose from 2,426 last year to 5,978 this year—a growth of 146.41%. This interest provides a clear opportunity for growth as guest members convert t full </w:t>
      </w:r>
      <w:r w:rsidR="00A31E54">
        <w:rPr>
          <w:rFonts w:ascii="Times New Roman" w:hAnsi="Times New Roman"/>
          <w:shd w:val="clear" w:color="auto" w:fill="FFFFFF"/>
        </w:rPr>
        <w:t>M</w:t>
      </w:r>
      <w:r>
        <w:rPr>
          <w:rFonts w:ascii="Times New Roman" w:hAnsi="Times New Roman"/>
          <w:shd w:val="clear" w:color="auto" w:fill="FFFFFF"/>
        </w:rPr>
        <w:t xml:space="preserve">emberships. </w:t>
      </w:r>
    </w:p>
    <w:p w14:paraId="748F3540" w14:textId="77777777" w:rsidR="00E26C18" w:rsidRDefault="00E26C18">
      <w:pPr>
        <w:pStyle w:val="Default"/>
        <w:suppressAutoHyphens/>
        <w:spacing w:before="0" w:line="240" w:lineRule="auto"/>
        <w:rPr>
          <w:rFonts w:ascii="Times New Roman" w:eastAsia="Times New Roman" w:hAnsi="Times New Roman" w:cs="Times New Roman"/>
          <w:shd w:val="clear" w:color="auto" w:fill="FFFFFF"/>
        </w:rPr>
      </w:pPr>
    </w:p>
    <w:p w14:paraId="34FAD8C1" w14:textId="77777777" w:rsidR="00E26C18" w:rsidRDefault="00000000">
      <w:pPr>
        <w:pStyle w:val="Default"/>
        <w:suppressAutoHyphens/>
        <w:spacing w:before="0" w:line="240" w:lineRule="auto"/>
        <w:rPr>
          <w:rFonts w:ascii="Times New Roman" w:eastAsia="Times New Roman" w:hAnsi="Times New Roman" w:cs="Times New Roman"/>
          <w:b/>
          <w:bCs/>
          <w:sz w:val="28"/>
          <w:szCs w:val="28"/>
          <w:shd w:val="clear" w:color="auto" w:fill="FFFFFF"/>
        </w:rPr>
      </w:pPr>
      <w:r>
        <w:rPr>
          <w:rFonts w:ascii="Times New Roman" w:hAnsi="Times New Roman"/>
          <w:b/>
          <w:bCs/>
          <w:sz w:val="28"/>
          <w:szCs w:val="28"/>
          <w:shd w:val="clear" w:color="auto" w:fill="FFFFFF"/>
        </w:rPr>
        <w:t xml:space="preserve">COMMUNICATIONS COMMITTEE </w:t>
      </w:r>
    </w:p>
    <w:p w14:paraId="165A2B5F" w14:textId="77777777" w:rsidR="00E26C18" w:rsidRDefault="00E26C18">
      <w:pPr>
        <w:pStyle w:val="Default"/>
        <w:suppressAutoHyphens/>
        <w:spacing w:before="0" w:line="240" w:lineRule="auto"/>
        <w:rPr>
          <w:rFonts w:ascii="Times New Roman" w:eastAsia="Times New Roman" w:hAnsi="Times New Roman" w:cs="Times New Roman"/>
          <w:shd w:val="clear" w:color="auto" w:fill="FFFFFF"/>
        </w:rPr>
      </w:pPr>
    </w:p>
    <w:p w14:paraId="1C3EAB63" w14:textId="2BE6A3B6" w:rsidR="00E26C18" w:rsidRDefault="00000000">
      <w:pPr>
        <w:pStyle w:val="Default"/>
        <w:suppressAutoHyphens/>
        <w:spacing w:before="0" w:line="240" w:lineRule="auto"/>
        <w:rPr>
          <w:rFonts w:ascii="Times Roman" w:eastAsia="Times Roman" w:hAnsi="Times Roman" w:cs="Times Roman"/>
        </w:rPr>
      </w:pPr>
      <w:r>
        <w:rPr>
          <w:rFonts w:ascii="Times Roman" w:hAnsi="Times Roman"/>
        </w:rPr>
        <w:t xml:space="preserve">The Committee continues its work to strengthen the connection between the ACBL and its </w:t>
      </w:r>
      <w:r w:rsidR="00A31E54">
        <w:rPr>
          <w:rFonts w:ascii="Times Roman" w:hAnsi="Times Roman"/>
        </w:rPr>
        <w:t>M</w:t>
      </w:r>
      <w:r>
        <w:rPr>
          <w:rFonts w:ascii="Times Roman" w:hAnsi="Times Roman"/>
        </w:rPr>
        <w:t xml:space="preserve">embers by refining communication channels, updating operational policies, and establishing structured feedback loops. Composed of leadership and representatives across Management, the Board, the Advisory Council, and ACBL Marketing, the Committee operates through targeted sub-groups to drive focused progress on core initiatives.  The Committee creates the National Board </w:t>
      </w:r>
      <w:r w:rsidR="00A31E54">
        <w:rPr>
          <w:rFonts w:ascii="Times Roman" w:hAnsi="Times Roman"/>
        </w:rPr>
        <w:t>Report and</w:t>
      </w:r>
      <w:r>
        <w:rPr>
          <w:rFonts w:ascii="Times Roman" w:hAnsi="Times Roman"/>
        </w:rPr>
        <w:t xml:space="preserve"> will prioritize initiatives to</w:t>
      </w:r>
      <w:r w:rsidRPr="004D28B8">
        <w:rPr>
          <w:rFonts w:ascii="Times Roman" w:hAnsi="Times Roman"/>
        </w:rPr>
        <w:t xml:space="preserve"> improv</w:t>
      </w:r>
      <w:r>
        <w:rPr>
          <w:rFonts w:ascii="Times Roman" w:hAnsi="Times Roman"/>
        </w:rPr>
        <w:t>e ACBL website content and navigation.</w:t>
      </w:r>
    </w:p>
    <w:p w14:paraId="2B41C092" w14:textId="77777777" w:rsidR="00E26C18" w:rsidRDefault="00E26C18">
      <w:pPr>
        <w:pStyle w:val="Default"/>
        <w:suppressAutoHyphens/>
        <w:spacing w:before="0" w:line="240" w:lineRule="auto"/>
        <w:rPr>
          <w:rFonts w:ascii="Times Roman" w:eastAsia="Times Roman" w:hAnsi="Times Roman" w:cs="Times Roman"/>
        </w:rPr>
      </w:pPr>
    </w:p>
    <w:p w14:paraId="14855F15" w14:textId="77777777" w:rsidR="00E26C18" w:rsidRDefault="00000000">
      <w:pPr>
        <w:pStyle w:val="Default"/>
        <w:suppressAutoHyphens/>
        <w:spacing w:before="0" w:line="240" w:lineRule="auto"/>
        <w:rPr>
          <w:rFonts w:ascii="Times New Roman" w:eastAsia="Times New Roman" w:hAnsi="Times New Roman" w:cs="Times New Roman"/>
          <w:b/>
          <w:bCs/>
          <w:sz w:val="28"/>
          <w:szCs w:val="28"/>
          <w:shd w:val="clear" w:color="auto" w:fill="FFFFFF"/>
        </w:rPr>
      </w:pPr>
      <w:r>
        <w:rPr>
          <w:rFonts w:ascii="Times New Roman" w:hAnsi="Times New Roman"/>
          <w:b/>
          <w:bCs/>
          <w:sz w:val="28"/>
          <w:szCs w:val="28"/>
          <w:shd w:val="clear" w:color="auto" w:fill="FFFFFF"/>
        </w:rPr>
        <w:t xml:space="preserve">APPEALS &amp; CHARGES COMMITTEE </w:t>
      </w:r>
    </w:p>
    <w:p w14:paraId="5B9D6B63" w14:textId="77777777" w:rsidR="00E26C18" w:rsidRDefault="00000000">
      <w:pPr>
        <w:pStyle w:val="Default"/>
        <w:suppressAutoHyphens/>
        <w:spacing w:before="0" w:line="240" w:lineRule="auto"/>
        <w:rPr>
          <w:rFonts w:ascii="Times New Roman" w:eastAsia="Times New Roman" w:hAnsi="Times New Roman" w:cs="Times New Roman"/>
          <w:shd w:val="clear" w:color="auto" w:fill="FFFFFF"/>
        </w:rPr>
      </w:pPr>
      <w:r>
        <w:rPr>
          <w:rFonts w:ascii="Times New Roman" w:hAnsi="Times New Roman"/>
          <w:shd w:val="clear" w:color="auto" w:fill="FFFFFF"/>
        </w:rPr>
        <w:t xml:space="preserve"> </w:t>
      </w:r>
    </w:p>
    <w:p w14:paraId="412DAF19" w14:textId="77777777" w:rsidR="00E26C18" w:rsidRDefault="00000000">
      <w:pPr>
        <w:pStyle w:val="Default"/>
        <w:suppressAutoHyphens/>
        <w:spacing w:before="0" w:after="240" w:line="240" w:lineRule="auto"/>
        <w:rPr>
          <w:rFonts w:ascii="Times Roman" w:eastAsia="Times Roman" w:hAnsi="Times Roman" w:cs="Times Roman"/>
        </w:rPr>
      </w:pPr>
      <w:r>
        <w:rPr>
          <w:rFonts w:ascii="Times Roman" w:hAnsi="Times Roman"/>
        </w:rPr>
        <w:t>The Chair presented a report on disciplinary administration and proceedings, which the Board received without objection. They also provided an update on Computer-Based Cheating Detection, confirming that the initial review of online play through February 1, 2024, is complete and highlighting that player memos remain an essential tool for identifying potential misconduct. Moving forward, the Committee will collaborate with Management to develop an ongoing monitoring strategy—including future priorities and processes—and bring those recommendations to the Board for consideration.</w:t>
      </w:r>
    </w:p>
    <w:p w14:paraId="10A32EC6" w14:textId="77777777" w:rsidR="00E26C18" w:rsidRDefault="00000000">
      <w:pPr>
        <w:pStyle w:val="Default"/>
        <w:suppressAutoHyphens/>
        <w:spacing w:before="0" w:after="240" w:line="240" w:lineRule="auto"/>
        <w:rPr>
          <w:rFonts w:ascii="Times Roman" w:eastAsia="Times Roman" w:hAnsi="Times Roman" w:cs="Times Roman"/>
        </w:rPr>
      </w:pPr>
      <w:r>
        <w:rPr>
          <w:rFonts w:ascii="Times Roman" w:hAnsi="Times Roman"/>
        </w:rPr>
        <w:t>To review Hearing Reports and the Under Discipline List, visit the ACBL</w:t>
      </w:r>
      <w:r>
        <w:rPr>
          <w:rFonts w:ascii="Times Roman" w:hAnsi="Times Roman"/>
          <w:rtl/>
        </w:rPr>
        <w:t>’</w:t>
      </w:r>
      <w:r>
        <w:rPr>
          <w:rFonts w:ascii="Times Roman" w:hAnsi="Times Roman"/>
        </w:rPr>
        <w:t xml:space="preserve">s ethics page at </w:t>
      </w:r>
      <w:hyperlink r:id="rId7" w:history="1">
        <w:r w:rsidR="00E26C18">
          <w:rPr>
            <w:rStyle w:val="Hyperlink0"/>
            <w:rFonts w:ascii="Times Roman" w:hAnsi="Times Roman"/>
          </w:rPr>
          <w:t>acbl.org/ethics</w:t>
        </w:r>
      </w:hyperlink>
      <w:r>
        <w:rPr>
          <w:rFonts w:ascii="Times Roman" w:hAnsi="Times Roman"/>
        </w:rPr>
        <w:t>.</w:t>
      </w:r>
    </w:p>
    <w:p w14:paraId="1E42DCF0" w14:textId="5DAAD523" w:rsidR="00E26C18" w:rsidRPr="00DB1AD1" w:rsidRDefault="00000000" w:rsidP="00DB1AD1">
      <w:pPr>
        <w:pStyle w:val="Default"/>
        <w:suppressAutoHyphens/>
        <w:spacing w:before="0" w:after="240" w:line="240" w:lineRule="auto"/>
        <w:rPr>
          <w:rFonts w:ascii="Times Roman" w:eastAsia="Times Roman" w:hAnsi="Times Roman" w:cs="Times Roman" w:hint="eastAsia"/>
        </w:rPr>
      </w:pPr>
      <w:r>
        <w:rPr>
          <w:rFonts w:ascii="Times Roman" w:hAnsi="Times Roman"/>
        </w:rPr>
        <w:t xml:space="preserve">Additionally, initiatives to modernize and simplify the disciplinary framework were presented. These proposals focus on improving efficiency, promoting consistency, expediting case resolutions, and optimizing volunteer and staff resources—all while preserving </w:t>
      </w:r>
      <w:r w:rsidR="00A31E54">
        <w:rPr>
          <w:rFonts w:ascii="Times Roman" w:hAnsi="Times Roman"/>
        </w:rPr>
        <w:t>M</w:t>
      </w:r>
      <w:r>
        <w:rPr>
          <w:rFonts w:ascii="Times Roman" w:hAnsi="Times Roman"/>
        </w:rPr>
        <w:t xml:space="preserve">embers' due process rights. Key proposed revisions to the Code of Disciplinary Regulations (CDR) </w:t>
      </w:r>
      <w:proofErr w:type="gramStart"/>
      <w:r>
        <w:rPr>
          <w:rFonts w:ascii="Times Roman" w:hAnsi="Times Roman"/>
        </w:rPr>
        <w:t>include:</w:t>
      </w:r>
      <w:proofErr w:type="gramEnd"/>
      <w:r w:rsidR="00DB1AD1">
        <w:rPr>
          <w:rFonts w:ascii="Times Roman" w:hAnsi="Times Roman"/>
        </w:rPr>
        <w:t xml:space="preserve"> </w:t>
      </w:r>
      <w:r>
        <w:rPr>
          <w:rFonts w:ascii="Times Roman" w:hAnsi="Times Roman"/>
        </w:rPr>
        <w:t>Adding a conduct category for non-bridge misconduct at ACBL events</w:t>
      </w:r>
      <w:r w:rsidR="00DB1AD1">
        <w:rPr>
          <w:rFonts w:ascii="Times Roman" w:hAnsi="Times Roman"/>
        </w:rPr>
        <w:t xml:space="preserve">; </w:t>
      </w:r>
      <w:r>
        <w:rPr>
          <w:rFonts w:ascii="Times Roman" w:hAnsi="Times Roman"/>
        </w:rPr>
        <w:t xml:space="preserve">Consolidating or </w:t>
      </w:r>
      <w:r>
        <w:rPr>
          <w:rFonts w:ascii="Times Roman" w:hAnsi="Times Roman"/>
        </w:rPr>
        <w:lastRenderedPageBreak/>
        <w:t>removing obsolete provisions</w:t>
      </w:r>
      <w:r w:rsidR="00DB1AD1">
        <w:rPr>
          <w:rFonts w:ascii="Times Roman" w:hAnsi="Times Roman"/>
        </w:rPr>
        <w:t xml:space="preserve">; </w:t>
      </w:r>
      <w:r>
        <w:rPr>
          <w:rFonts w:ascii="Times Roman" w:hAnsi="Times Roman"/>
        </w:rPr>
        <w:t>Streamlining the administration of club barring appeals</w:t>
      </w:r>
      <w:r w:rsidR="00DB1AD1">
        <w:rPr>
          <w:rFonts w:ascii="Times Roman" w:hAnsi="Times Roman"/>
        </w:rPr>
        <w:t xml:space="preserve">; </w:t>
      </w:r>
      <w:r>
        <w:rPr>
          <w:rFonts w:ascii="Times Roman" w:hAnsi="Times Roman"/>
        </w:rPr>
        <w:t>Expanding Fast Track Discipline (FTD) as an optional resolution process for certain violations</w:t>
      </w:r>
      <w:r w:rsidR="00DB1AD1">
        <w:rPr>
          <w:rFonts w:ascii="Times Roman" w:hAnsi="Times Roman"/>
        </w:rPr>
        <w:t>.</w:t>
      </w:r>
    </w:p>
    <w:p w14:paraId="0622982A" w14:textId="77777777" w:rsidR="00E26C18" w:rsidRDefault="00000000">
      <w:pPr>
        <w:pStyle w:val="Default"/>
        <w:suppressAutoHyphens/>
        <w:spacing w:before="0" w:after="240" w:line="240" w:lineRule="auto"/>
        <w:rPr>
          <w:rFonts w:ascii="Times Roman" w:eastAsia="Times Roman" w:hAnsi="Times Roman" w:cs="Times Roman"/>
        </w:rPr>
      </w:pPr>
      <w:r>
        <w:rPr>
          <w:rFonts w:ascii="Times Roman" w:hAnsi="Times Roman"/>
        </w:rPr>
        <w:t>The Committee also reviewed six-year disciplinary hearing trends, noting a significant decline in contested hearings and proposing a modernized hearing structure in response.</w:t>
      </w:r>
    </w:p>
    <w:p w14:paraId="783446D7" w14:textId="77777777" w:rsidR="00E26C18" w:rsidRDefault="00000000">
      <w:pPr>
        <w:pStyle w:val="Default"/>
        <w:suppressAutoHyphens/>
        <w:spacing w:before="0" w:after="240" w:line="240" w:lineRule="auto"/>
        <w:rPr>
          <w:rFonts w:ascii="Times Roman" w:eastAsia="Times Roman" w:hAnsi="Times Roman" w:cs="Times Roman"/>
        </w:rPr>
      </w:pPr>
      <w:r>
        <w:rPr>
          <w:rFonts w:ascii="Times Roman" w:hAnsi="Times Roman"/>
        </w:rPr>
        <w:t>Following these discussions, the Board expressed unanimous support for the plans, with formal motions to be presented at a future meeting.</w:t>
      </w:r>
    </w:p>
    <w:p w14:paraId="088EA02B" w14:textId="77777777" w:rsidR="00E26C18" w:rsidRDefault="00000000">
      <w:pPr>
        <w:pStyle w:val="Default"/>
        <w:suppressAutoHyphens/>
        <w:spacing w:before="0" w:after="398" w:line="240" w:lineRule="auto"/>
        <w:rPr>
          <w:rStyle w:val="None"/>
          <w:rFonts w:ascii="Times New Roman" w:eastAsia="Times New Roman" w:hAnsi="Times New Roman" w:cs="Times New Roman"/>
          <w:sz w:val="28"/>
          <w:szCs w:val="28"/>
        </w:rPr>
      </w:pPr>
      <w:r>
        <w:rPr>
          <w:rFonts w:ascii="Times New Roman" w:hAnsi="Times New Roman"/>
          <w:b/>
          <w:bCs/>
          <w:sz w:val="28"/>
          <w:szCs w:val="28"/>
        </w:rPr>
        <w:t xml:space="preserve">NEW MASTERPOINT FORMULA FOR TOURNAMENTS </w:t>
      </w:r>
    </w:p>
    <w:p w14:paraId="62A3410D" w14:textId="7B396ECF" w:rsidR="00E26C18" w:rsidRDefault="00000000">
      <w:pPr>
        <w:pStyle w:val="Default"/>
        <w:suppressAutoHyphens/>
        <w:spacing w:before="0" w:after="398" w:line="240" w:lineRule="auto"/>
        <w:rPr>
          <w:rFonts w:ascii="Times New Roman" w:eastAsia="Times New Roman" w:hAnsi="Times New Roman" w:cs="Times New Roman"/>
        </w:rPr>
      </w:pPr>
      <w:r>
        <w:rPr>
          <w:rFonts w:ascii="Times New Roman" w:hAnsi="Times New Roman"/>
        </w:rPr>
        <w:t>The Board approved a major formula overhaul to the Masterpoint system for tournaments effective January 1, 2027.  Moving to direct, event-specific evaluations better reflects actual field strength and incentivizes participation across all levels. To avoid decreasing awards, overall tournament Masterpoint awards will rise by 20 - 30%.  Club game awards have not yet been addressed, and overall Life Master thresholds remain unchanged.</w:t>
      </w:r>
    </w:p>
    <w:p w14:paraId="2C0368BD" w14:textId="77777777" w:rsidR="00E26C18" w:rsidRDefault="00000000">
      <w:pPr>
        <w:pStyle w:val="Default"/>
        <w:suppressAutoHyphens/>
        <w:spacing w:before="0" w:after="320" w:line="240" w:lineRule="auto"/>
        <w:rPr>
          <w:rStyle w:val="None"/>
          <w:rFonts w:eastAsia="Helvetica Neue" w:cs="Helvetica Neue"/>
          <w:sz w:val="28"/>
          <w:szCs w:val="28"/>
        </w:rPr>
      </w:pPr>
      <w:r>
        <w:rPr>
          <w:rFonts w:ascii="Times Roman" w:hAnsi="Times Roman"/>
          <w:b/>
          <w:bCs/>
          <w:sz w:val="28"/>
          <w:szCs w:val="28"/>
        </w:rPr>
        <w:t>Resolving Structural Anomalies</w:t>
      </w:r>
    </w:p>
    <w:p w14:paraId="19D5EC69" w14:textId="77777777" w:rsidR="00E26C18" w:rsidRDefault="00000000">
      <w:pPr>
        <w:pStyle w:val="Default"/>
        <w:suppressAutoHyphens/>
        <w:spacing w:before="0" w:after="320" w:line="240" w:lineRule="auto"/>
        <w:rPr>
          <w:rStyle w:val="None"/>
          <w:rFonts w:eastAsia="Helvetica Neue" w:cs="Helvetica Neue"/>
        </w:rPr>
      </w:pPr>
      <w:r>
        <w:rPr>
          <w:rFonts w:ascii="Times Roman" w:hAnsi="Times Roman"/>
        </w:rPr>
        <w:t>The previous calculation method contained inequities: strong stand-alone events did not receive awards commensurate with those with multiple flights, Swiss team events paid out far less than equivalent pair games, and lower-level tournament flights offered modest point incentives.</w:t>
      </w:r>
    </w:p>
    <w:p w14:paraId="3EDB3224" w14:textId="77777777" w:rsidR="00E26C18" w:rsidRDefault="00000000">
      <w:pPr>
        <w:pStyle w:val="Default"/>
        <w:suppressAutoHyphens/>
        <w:spacing w:before="0" w:after="320" w:line="240" w:lineRule="auto"/>
        <w:rPr>
          <w:rStyle w:val="None"/>
          <w:rFonts w:eastAsia="Helvetica Neue" w:cs="Helvetica Neue"/>
        </w:rPr>
      </w:pPr>
      <w:r>
        <w:rPr>
          <w:rFonts w:ascii="Times Roman" w:hAnsi="Times Roman"/>
        </w:rPr>
        <w:t>To create a more balanced competitive landscape, the revised formula centers on several core updates:</w:t>
      </w:r>
    </w:p>
    <w:p w14:paraId="7A1F592E" w14:textId="77777777" w:rsidR="00E26C18" w:rsidRDefault="00000000">
      <w:pPr>
        <w:pStyle w:val="Default"/>
        <w:suppressAutoHyphens/>
        <w:spacing w:before="0" w:after="320" w:line="240" w:lineRule="auto"/>
        <w:ind w:left="1066" w:hanging="480"/>
        <w:rPr>
          <w:rStyle w:val="None"/>
          <w:rFonts w:eastAsia="Helvetica Neue" w:cs="Helvetica Neue"/>
        </w:rPr>
      </w:pPr>
      <w:r w:rsidRPr="004D28B8">
        <w:rPr>
          <w:rStyle w:val="None"/>
          <w:rFonts w:ascii="Arial Unicode MS" w:hAnsi="Arial Unicode MS"/>
          <w:sz w:val="32"/>
          <w:szCs w:val="32"/>
        </w:rPr>
        <w:t>·</w:t>
      </w:r>
      <w:r>
        <w:rPr>
          <w:rStyle w:val="None"/>
          <w:rFonts w:ascii="Times New Roman" w:hAnsi="Times New Roman"/>
          <w:sz w:val="19"/>
          <w:szCs w:val="19"/>
        </w:rPr>
        <w:t xml:space="preserve">      </w:t>
      </w:r>
      <w:r>
        <w:rPr>
          <w:rStyle w:val="None"/>
          <w:rFonts w:ascii="Times Roman" w:hAnsi="Times Roman"/>
          <w:b/>
          <w:bCs/>
        </w:rPr>
        <w:t>Direct Event Evaluation:</w:t>
      </w:r>
      <w:r>
        <w:rPr>
          <w:rStyle w:val="None"/>
          <w:rFonts w:ascii="Times Roman" w:hAnsi="Times Roman"/>
        </w:rPr>
        <w:t xml:space="preserve"> Rather than penalizing or artificially inflating events based on artificial Masterpoint limits and external factors, each event is now judged strictly on its own table count and internal field strength.</w:t>
      </w:r>
    </w:p>
    <w:p w14:paraId="1FAD2C34" w14:textId="77777777" w:rsidR="00E26C18" w:rsidRDefault="00000000">
      <w:pPr>
        <w:pStyle w:val="Default"/>
        <w:suppressAutoHyphens/>
        <w:spacing w:before="0" w:after="320" w:line="240" w:lineRule="auto"/>
        <w:ind w:left="1066" w:hanging="480"/>
        <w:rPr>
          <w:rStyle w:val="None"/>
          <w:rFonts w:eastAsia="Helvetica Neue" w:cs="Helvetica Neue"/>
        </w:rPr>
      </w:pPr>
      <w:r w:rsidRPr="004D28B8">
        <w:rPr>
          <w:rStyle w:val="None"/>
          <w:rFonts w:ascii="Arial Unicode MS" w:hAnsi="Arial Unicode MS"/>
        </w:rPr>
        <w:t>·</w:t>
      </w:r>
      <w:r>
        <w:rPr>
          <w:rStyle w:val="None"/>
          <w:rFonts w:ascii="Times New Roman" w:hAnsi="Times New Roman"/>
        </w:rPr>
        <w:t xml:space="preserve">      </w:t>
      </w:r>
      <w:r>
        <w:rPr>
          <w:rStyle w:val="None"/>
          <w:rFonts w:ascii="Times Roman" w:hAnsi="Times Roman"/>
          <w:b/>
          <w:bCs/>
        </w:rPr>
        <w:t>Swiss-style Team Events:</w:t>
      </w:r>
      <w:r>
        <w:rPr>
          <w:rFonts w:ascii="Times Roman" w:hAnsi="Times Roman"/>
        </w:rPr>
        <w:t>  Stratified Swiss teams, Flighted teams, and Bracketed teams are now all treated the same for Masterpoint purposes.  Awards for these events have been increased (in some cases significantly) to make them equal to those in equivalent pair events.</w:t>
      </w:r>
    </w:p>
    <w:p w14:paraId="51858F58" w14:textId="77777777" w:rsidR="00E26C18" w:rsidRDefault="00000000">
      <w:pPr>
        <w:pStyle w:val="Default"/>
        <w:suppressAutoHyphens/>
        <w:spacing w:before="0" w:after="320" w:line="240" w:lineRule="auto"/>
        <w:ind w:left="1066" w:hanging="480"/>
        <w:rPr>
          <w:rStyle w:val="None"/>
          <w:rFonts w:eastAsia="Helvetica Neue" w:cs="Helvetica Neue"/>
        </w:rPr>
      </w:pPr>
      <w:r w:rsidRPr="004D28B8">
        <w:rPr>
          <w:rStyle w:val="None"/>
          <w:rFonts w:ascii="Arial Unicode MS" w:hAnsi="Arial Unicode MS"/>
        </w:rPr>
        <w:t>·</w:t>
      </w:r>
      <w:r>
        <w:rPr>
          <w:rStyle w:val="None"/>
          <w:rFonts w:ascii="Times New Roman" w:hAnsi="Times New Roman"/>
        </w:rPr>
        <w:t xml:space="preserve">      </w:t>
      </w:r>
      <w:r>
        <w:rPr>
          <w:rStyle w:val="None"/>
          <w:rFonts w:ascii="Times Roman" w:hAnsi="Times Roman"/>
          <w:b/>
          <w:bCs/>
        </w:rPr>
        <w:t>In-Person Play Incentives:</w:t>
      </w:r>
      <w:r>
        <w:rPr>
          <w:rFonts w:ascii="Times Roman" w:hAnsi="Times Roman"/>
        </w:rPr>
        <w:t xml:space="preserve"> To encourage in-person participation, online events will continue to receive a 20% Masterpoint reduction relative to in-person play.</w:t>
      </w:r>
    </w:p>
    <w:p w14:paraId="0BD9159D" w14:textId="77777777" w:rsidR="00E26C18" w:rsidRDefault="00000000">
      <w:pPr>
        <w:pStyle w:val="Default"/>
        <w:suppressAutoHyphens/>
        <w:spacing w:before="0" w:after="320" w:line="240" w:lineRule="auto"/>
        <w:ind w:left="1066" w:hanging="480"/>
        <w:rPr>
          <w:rStyle w:val="None"/>
          <w:rFonts w:eastAsia="Helvetica Neue" w:cs="Helvetica Neue"/>
        </w:rPr>
      </w:pPr>
      <w:r w:rsidRPr="004D28B8">
        <w:rPr>
          <w:rStyle w:val="None"/>
          <w:rFonts w:ascii="Arial Unicode MS" w:hAnsi="Arial Unicode MS"/>
        </w:rPr>
        <w:t>·</w:t>
      </w:r>
      <w:r>
        <w:rPr>
          <w:rStyle w:val="None"/>
          <w:rFonts w:ascii="Times New Roman" w:hAnsi="Times New Roman"/>
        </w:rPr>
        <w:t xml:space="preserve">      </w:t>
      </w:r>
      <w:r>
        <w:rPr>
          <w:rStyle w:val="None"/>
          <w:rFonts w:ascii="Times Roman" w:hAnsi="Times Roman"/>
          <w:b/>
          <w:bCs/>
        </w:rPr>
        <w:t>Capped Elite Multipliers:</w:t>
      </w:r>
      <w:r>
        <w:rPr>
          <w:rFonts w:ascii="Times Roman" w:hAnsi="Times Roman"/>
        </w:rPr>
        <w:t xml:space="preserve"> Awards are capped to prevent overly large awards for outlier events.  A smoothing function was added to soften the curve as it approached the cap.</w:t>
      </w:r>
    </w:p>
    <w:p w14:paraId="221ED811" w14:textId="77777777" w:rsidR="00E26C18" w:rsidRDefault="00000000">
      <w:pPr>
        <w:pStyle w:val="Default"/>
        <w:suppressAutoHyphens/>
        <w:spacing w:before="0" w:after="320" w:line="240" w:lineRule="auto"/>
        <w:rPr>
          <w:rStyle w:val="None"/>
          <w:rFonts w:eastAsia="Helvetica Neue" w:cs="Helvetica Neue"/>
          <w:sz w:val="28"/>
          <w:szCs w:val="28"/>
        </w:rPr>
      </w:pPr>
      <w:r>
        <w:rPr>
          <w:rFonts w:ascii="Times Roman" w:hAnsi="Times Roman"/>
          <w:b/>
          <w:bCs/>
          <w:sz w:val="28"/>
          <w:szCs w:val="28"/>
        </w:rPr>
        <w:lastRenderedPageBreak/>
        <w:t xml:space="preserve">Benefits for Tournament Organizers </w:t>
      </w:r>
    </w:p>
    <w:p w14:paraId="1453C837" w14:textId="77777777" w:rsidR="00E26C18" w:rsidRDefault="00000000">
      <w:pPr>
        <w:pStyle w:val="Default"/>
        <w:suppressAutoHyphens/>
        <w:spacing w:before="0" w:after="320" w:line="240" w:lineRule="auto"/>
        <w:ind w:left="960" w:hanging="480"/>
        <w:rPr>
          <w:rFonts w:ascii="Times New Roman" w:eastAsia="Times New Roman" w:hAnsi="Times New Roman" w:cs="Times New Roman"/>
        </w:rPr>
      </w:pPr>
      <w:r w:rsidRPr="004D28B8">
        <w:rPr>
          <w:rStyle w:val="None"/>
          <w:rFonts w:ascii="Arial Unicode MS" w:hAnsi="Arial Unicode MS"/>
        </w:rPr>
        <w:t>·</w:t>
      </w:r>
      <w:r>
        <w:rPr>
          <w:rFonts w:ascii="Times New Roman" w:hAnsi="Times New Roman"/>
        </w:rPr>
        <w:t xml:space="preserve">       </w:t>
      </w:r>
      <w:r>
        <w:rPr>
          <w:rStyle w:val="None"/>
          <w:rFonts w:ascii="Times New Roman" w:hAnsi="Times New Roman"/>
          <w:b/>
          <w:bCs/>
        </w:rPr>
        <w:t>Greater Scheduling Freedom:</w:t>
      </w:r>
      <w:r>
        <w:rPr>
          <w:rFonts w:ascii="Times New Roman" w:hAnsi="Times New Roman"/>
        </w:rPr>
        <w:t xml:space="preserve"> Equalizing Masterpoint awards across events allows organizers to design player-first schedules based on local demand rather than point optimization. This gives team events equal footing without penalizing player earnings.</w:t>
      </w:r>
    </w:p>
    <w:p w14:paraId="6D3496C2" w14:textId="77777777" w:rsidR="00E26C18" w:rsidRDefault="00000000">
      <w:pPr>
        <w:pStyle w:val="Default"/>
        <w:suppressAutoHyphens/>
        <w:spacing w:before="0" w:after="374" w:line="240" w:lineRule="auto"/>
        <w:rPr>
          <w:rStyle w:val="None"/>
          <w:rFonts w:eastAsia="Helvetica Neue" w:cs="Helvetica Neue"/>
          <w:sz w:val="28"/>
          <w:szCs w:val="28"/>
        </w:rPr>
      </w:pPr>
      <w:r>
        <w:rPr>
          <w:rFonts w:ascii="Times Roman" w:hAnsi="Times Roman"/>
          <w:b/>
          <w:bCs/>
          <w:sz w:val="28"/>
          <w:szCs w:val="28"/>
        </w:rPr>
        <w:t>The Impact on Players</w:t>
      </w:r>
    </w:p>
    <w:p w14:paraId="158873D6" w14:textId="77777777" w:rsidR="00E26C18" w:rsidRDefault="00000000">
      <w:pPr>
        <w:pStyle w:val="Default"/>
        <w:suppressAutoHyphens/>
        <w:spacing w:before="0" w:after="320" w:line="240" w:lineRule="auto"/>
        <w:rPr>
          <w:rStyle w:val="None"/>
          <w:rFonts w:eastAsia="Helvetica Neue" w:cs="Helvetica Neue"/>
        </w:rPr>
      </w:pPr>
      <w:r>
        <w:rPr>
          <w:rFonts w:ascii="Times Roman" w:hAnsi="Times Roman"/>
        </w:rPr>
        <w:t xml:space="preserve">These updates deliver immediate, tangible benefits across every skill level, while ensuring </w:t>
      </w:r>
      <w:proofErr w:type="gramStart"/>
      <w:r>
        <w:rPr>
          <w:rFonts w:ascii="Times Roman" w:hAnsi="Times Roman"/>
        </w:rPr>
        <w:t>the majority of</w:t>
      </w:r>
      <w:proofErr w:type="gramEnd"/>
      <w:r>
        <w:rPr>
          <w:rFonts w:ascii="Times Roman" w:hAnsi="Times Roman"/>
        </w:rPr>
        <w:t xml:space="preserve"> awards increase or remain steady, with no event type facing a material reduction in payouts:</w:t>
      </w:r>
    </w:p>
    <w:p w14:paraId="2ED086AD" w14:textId="77777777" w:rsidR="00E26C18" w:rsidRDefault="00000000">
      <w:pPr>
        <w:pStyle w:val="Default"/>
        <w:suppressAutoHyphens/>
        <w:spacing w:before="0" w:after="320" w:line="240" w:lineRule="auto"/>
        <w:ind w:left="1066" w:hanging="480"/>
        <w:rPr>
          <w:rStyle w:val="None"/>
          <w:rFonts w:eastAsia="Helvetica Neue" w:cs="Helvetica Neue"/>
        </w:rPr>
      </w:pPr>
      <w:r w:rsidRPr="004D28B8">
        <w:rPr>
          <w:rStyle w:val="None"/>
          <w:rFonts w:ascii="Arial Unicode MS" w:hAnsi="Arial Unicode MS"/>
        </w:rPr>
        <w:t>·</w:t>
      </w:r>
      <w:r>
        <w:rPr>
          <w:rStyle w:val="None"/>
          <w:rFonts w:ascii="Times New Roman" w:hAnsi="Times New Roman"/>
        </w:rPr>
        <w:t xml:space="preserve">      </w:t>
      </w:r>
      <w:r>
        <w:rPr>
          <w:rStyle w:val="None"/>
          <w:rFonts w:ascii="Times Roman" w:hAnsi="Times Roman"/>
          <w:b/>
          <w:bCs/>
        </w:rPr>
        <w:t>Newer &amp; Non-Life Master Players:</w:t>
      </w:r>
      <w:r>
        <w:rPr>
          <w:rFonts w:ascii="Times Roman" w:hAnsi="Times Roman"/>
        </w:rPr>
        <w:t xml:space="preserve"> Gold Rush event awards will increase substantially, and nearly double in certain instances, rising from 3 - 4 points to 6 - 8 points. Players with fewer than 1,000 Masterpoints will see substantial award increases, providing a much stronger incentive to attend tournaments.</w:t>
      </w:r>
    </w:p>
    <w:p w14:paraId="10CB5B97" w14:textId="77777777" w:rsidR="00E26C18" w:rsidRDefault="00000000">
      <w:pPr>
        <w:pStyle w:val="Default"/>
        <w:suppressAutoHyphens/>
        <w:spacing w:before="0" w:after="320" w:line="240" w:lineRule="auto"/>
        <w:ind w:left="1066" w:hanging="480"/>
        <w:rPr>
          <w:rStyle w:val="None"/>
          <w:rFonts w:eastAsia="Helvetica Neue" w:cs="Helvetica Neue"/>
        </w:rPr>
      </w:pPr>
      <w:r w:rsidRPr="004D28B8">
        <w:rPr>
          <w:rStyle w:val="None"/>
          <w:rFonts w:ascii="Arial Unicode MS" w:hAnsi="Arial Unicode MS"/>
        </w:rPr>
        <w:t>·</w:t>
      </w:r>
      <w:r>
        <w:rPr>
          <w:rStyle w:val="None"/>
          <w:rFonts w:ascii="Times New Roman" w:hAnsi="Times New Roman"/>
        </w:rPr>
        <w:t xml:space="preserve">      </w:t>
      </w:r>
      <w:r>
        <w:rPr>
          <w:rStyle w:val="None"/>
          <w:rFonts w:ascii="Times Roman" w:hAnsi="Times Roman"/>
          <w:b/>
          <w:bCs/>
        </w:rPr>
        <w:t>Single-Flight Competitors:</w:t>
      </w:r>
      <w:r>
        <w:rPr>
          <w:rFonts w:ascii="Times Roman" w:hAnsi="Times Roman"/>
        </w:rPr>
        <w:t xml:space="preserve"> Strong single-flight open fields will no longer be penalized for lacking concurrent Gold Rush or Midflight events, earning payouts that genuinely match their level.</w:t>
      </w:r>
    </w:p>
    <w:p w14:paraId="648560EE" w14:textId="77777777" w:rsidR="00E26C18" w:rsidRDefault="00000000">
      <w:pPr>
        <w:pStyle w:val="Default"/>
        <w:suppressAutoHyphens/>
        <w:spacing w:before="0" w:after="320" w:line="240" w:lineRule="auto"/>
        <w:ind w:left="1066" w:hanging="480"/>
        <w:rPr>
          <w:rStyle w:val="None"/>
          <w:rFonts w:eastAsia="Helvetica Neue" w:cs="Helvetica Neue"/>
        </w:rPr>
      </w:pPr>
      <w:r w:rsidRPr="004D28B8">
        <w:rPr>
          <w:rStyle w:val="None"/>
          <w:rFonts w:ascii="Arial Unicode MS" w:hAnsi="Arial Unicode MS"/>
        </w:rPr>
        <w:t>·</w:t>
      </w:r>
      <w:r>
        <w:rPr>
          <w:rStyle w:val="None"/>
          <w:rFonts w:ascii="Times New Roman" w:hAnsi="Times New Roman"/>
        </w:rPr>
        <w:t xml:space="preserve">      </w:t>
      </w:r>
      <w:r>
        <w:rPr>
          <w:rStyle w:val="None"/>
          <w:rFonts w:ascii="Times Roman" w:hAnsi="Times Roman"/>
          <w:b/>
          <w:bCs/>
        </w:rPr>
        <w:t>Swiss Team Events:</w:t>
      </w:r>
      <w:r>
        <w:rPr>
          <w:rFonts w:ascii="Times Roman" w:hAnsi="Times Roman"/>
        </w:rPr>
        <w:t xml:space="preserve"> Swiss Team Masterpoint awards will now match those of pair events, making these events more attractive for those who prefer team play, but are frustrated by small Masterpoint awards.</w:t>
      </w:r>
    </w:p>
    <w:p w14:paraId="6BE489B0" w14:textId="4FB2EE3D" w:rsidR="00E26C18" w:rsidRDefault="00000000">
      <w:pPr>
        <w:pStyle w:val="Default"/>
        <w:suppressAutoHyphens/>
        <w:spacing w:before="0" w:after="320" w:line="240" w:lineRule="auto"/>
        <w:ind w:left="1066" w:hanging="480"/>
        <w:rPr>
          <w:rFonts w:ascii="Times Roman" w:eastAsia="Times Roman" w:hAnsi="Times Roman" w:cs="Times Roman"/>
        </w:rPr>
      </w:pPr>
      <w:r w:rsidRPr="004D28B8">
        <w:rPr>
          <w:rStyle w:val="None"/>
          <w:rFonts w:ascii="Arial Unicode MS" w:hAnsi="Arial Unicode MS"/>
        </w:rPr>
        <w:t>·</w:t>
      </w:r>
      <w:r>
        <w:rPr>
          <w:rStyle w:val="None"/>
          <w:rFonts w:ascii="Times New Roman" w:hAnsi="Times New Roman"/>
        </w:rPr>
        <w:t xml:space="preserve">      </w:t>
      </w:r>
      <w:r>
        <w:rPr>
          <w:rStyle w:val="None"/>
          <w:rFonts w:ascii="Times Roman" w:hAnsi="Times Roman"/>
          <w:b/>
          <w:bCs/>
        </w:rPr>
        <w:t>Midflight Participants:</w:t>
      </w:r>
      <w:r>
        <w:rPr>
          <w:rFonts w:ascii="Times Roman" w:hAnsi="Times Roman"/>
        </w:rPr>
        <w:t xml:space="preserve"> Midflight awards will remain steady. The new formula right-sizes these payouts by removing artificial credit previously drawn from concurrent </w:t>
      </w:r>
      <w:r w:rsidR="00495E0A">
        <w:rPr>
          <w:rFonts w:ascii="Times Roman" w:hAnsi="Times Roman"/>
        </w:rPr>
        <w:t>o</w:t>
      </w:r>
      <w:r>
        <w:rPr>
          <w:rFonts w:ascii="Times Roman" w:hAnsi="Times Roman"/>
        </w:rPr>
        <w:t>pen tables without dropping awards below realistic standards.</w:t>
      </w:r>
    </w:p>
    <w:p w14:paraId="39830F1D" w14:textId="62BD53BD" w:rsidR="00E26C18" w:rsidRDefault="00495E0A">
      <w:pPr>
        <w:pStyle w:val="Default"/>
        <w:suppressAutoHyphens/>
        <w:spacing w:before="0" w:after="281" w:line="240" w:lineRule="auto"/>
        <w:rPr>
          <w:rFonts w:ascii="Times Roman" w:eastAsia="Times Roman" w:hAnsi="Times Roman" w:cs="Times Roman"/>
          <w:b/>
          <w:bCs/>
          <w:sz w:val="28"/>
          <w:szCs w:val="28"/>
        </w:rPr>
      </w:pPr>
      <w:r>
        <w:rPr>
          <w:rFonts w:ascii="Times Roman" w:hAnsi="Times Roman"/>
          <w:b/>
          <w:bCs/>
          <w:sz w:val="28"/>
          <w:szCs w:val="28"/>
        </w:rPr>
        <w:t xml:space="preserve">CHANGE TO ONE-DAY SWISS EVENTS </w:t>
      </w:r>
    </w:p>
    <w:p w14:paraId="73E78DD8" w14:textId="43471992" w:rsidR="00E26C18" w:rsidRDefault="00000000">
      <w:pPr>
        <w:pStyle w:val="Default"/>
        <w:suppressAutoHyphens/>
        <w:spacing w:before="0" w:after="281" w:line="240" w:lineRule="auto"/>
        <w:rPr>
          <w:rFonts w:ascii="Times Roman" w:eastAsia="Times Roman" w:hAnsi="Times Roman" w:cs="Times Roman"/>
        </w:rPr>
      </w:pPr>
      <w:r>
        <w:rPr>
          <w:rStyle w:val="None"/>
          <w:rFonts w:ascii="Times Roman" w:hAnsi="Times Roman"/>
          <w:b/>
          <w:bCs/>
        </w:rPr>
        <w:t>Motion 262-MP02</w:t>
      </w:r>
      <w:r>
        <w:rPr>
          <w:rFonts w:ascii="Times Roman" w:hAnsi="Times Roman"/>
        </w:rPr>
        <w:t xml:space="preserve"> updates the overall award table for one-day Swiss events to favor even-sized brackets, effective July 2026. Under the previous rules, seven- and nine-team fields yielded the highest percentage of overall awards, creating a system that favored round-robin movements despite their unpopularity with many players. </w:t>
      </w:r>
      <w:r w:rsidR="00495E0A">
        <w:rPr>
          <w:rFonts w:ascii="Times Roman" w:hAnsi="Times Roman"/>
        </w:rPr>
        <w:t>O</w:t>
      </w:r>
      <w:r>
        <w:rPr>
          <w:rFonts w:ascii="Times Roman" w:hAnsi="Times Roman"/>
        </w:rPr>
        <w:t>ptimizing awards for six-, eight-, and twelve-team brackets encourage events with more head-to-head matches and fewer round-robins.</w:t>
      </w:r>
    </w:p>
    <w:p w14:paraId="15398E28" w14:textId="77777777" w:rsidR="00E26C18" w:rsidRDefault="00000000">
      <w:pPr>
        <w:pStyle w:val="Default"/>
        <w:suppressAutoHyphens/>
        <w:spacing w:before="0" w:after="281" w:line="240" w:lineRule="auto"/>
        <w:rPr>
          <w:rFonts w:ascii="Times Roman" w:eastAsia="Times Roman" w:hAnsi="Times Roman" w:cs="Times Roman"/>
          <w:b/>
          <w:bCs/>
          <w:sz w:val="28"/>
          <w:szCs w:val="28"/>
        </w:rPr>
      </w:pPr>
      <w:r>
        <w:rPr>
          <w:rFonts w:ascii="Times Roman" w:hAnsi="Times Roman"/>
          <w:b/>
          <w:bCs/>
          <w:sz w:val="28"/>
          <w:szCs w:val="28"/>
        </w:rPr>
        <w:t xml:space="preserve">MORE GOLD MASTERPOINTS FOR </w:t>
      </w:r>
      <w:r w:rsidRPr="004D28B8">
        <w:rPr>
          <w:rFonts w:ascii="Times Roman" w:hAnsi="Times Roman"/>
          <w:b/>
          <w:bCs/>
          <w:sz w:val="28"/>
          <w:szCs w:val="28"/>
        </w:rPr>
        <w:t>NLM R</w:t>
      </w:r>
      <w:r>
        <w:rPr>
          <w:rFonts w:ascii="Times Roman" w:hAnsi="Times Roman"/>
          <w:b/>
          <w:bCs/>
          <w:sz w:val="28"/>
          <w:szCs w:val="28"/>
        </w:rPr>
        <w:t xml:space="preserve">EGIONALS </w:t>
      </w:r>
    </w:p>
    <w:p w14:paraId="556C16CE" w14:textId="34FA9605" w:rsidR="00E26C18" w:rsidRPr="00DB1AD1" w:rsidRDefault="00000000" w:rsidP="00DB1AD1">
      <w:pPr>
        <w:pStyle w:val="Default"/>
        <w:suppressAutoHyphens/>
        <w:spacing w:before="0" w:after="240" w:line="240" w:lineRule="auto"/>
        <w:rPr>
          <w:rFonts w:ascii="Times Roman" w:eastAsia="Times Roman" w:hAnsi="Times Roman" w:cs="Times Roman"/>
        </w:rPr>
      </w:pPr>
      <w:r>
        <w:rPr>
          <w:rStyle w:val="None"/>
          <w:rFonts w:ascii="Times Roman" w:hAnsi="Times Roman"/>
          <w:b/>
          <w:bCs/>
        </w:rPr>
        <w:t>Motion 262-MP03</w:t>
      </w:r>
      <w:r>
        <w:rPr>
          <w:rFonts w:ascii="Times Roman" w:hAnsi="Times Roman"/>
        </w:rPr>
        <w:t xml:space="preserve"> increases the </w:t>
      </w:r>
      <w:proofErr w:type="gramStart"/>
      <w:r>
        <w:rPr>
          <w:rFonts w:ascii="Times Roman" w:hAnsi="Times Roman"/>
        </w:rPr>
        <w:t>Gold</w:t>
      </w:r>
      <w:proofErr w:type="gramEnd"/>
      <w:r>
        <w:rPr>
          <w:rFonts w:ascii="Times Roman" w:hAnsi="Times Roman"/>
        </w:rPr>
        <w:t xml:space="preserve"> point ratio for Non-Life Master (NLM) Regional events restricted to players with fewer than 750 Masterpoints, effective July 2026. Championship event </w:t>
      </w:r>
      <w:r>
        <w:rPr>
          <w:rFonts w:ascii="Times Roman" w:hAnsi="Times Roman"/>
        </w:rPr>
        <w:lastRenderedPageBreak/>
        <w:t>payouts in those tournaments will shift from a 33% Gold / 67% Red split to an even 50% Gold / 50% Red split (calculated using standard Regional or Knockout formulas)</w:t>
      </w:r>
    </w:p>
    <w:p w14:paraId="56BF446D" w14:textId="77777777" w:rsidR="00E26C18" w:rsidRDefault="00E26C18">
      <w:pPr>
        <w:pStyle w:val="Default"/>
        <w:suppressAutoHyphens/>
        <w:spacing w:before="0" w:line="240" w:lineRule="auto"/>
        <w:rPr>
          <w:rFonts w:ascii="Times New Roman" w:eastAsia="Times New Roman" w:hAnsi="Times New Roman" w:cs="Times New Roman"/>
          <w:b/>
          <w:bCs/>
          <w:sz w:val="28"/>
          <w:szCs w:val="28"/>
          <w:shd w:val="clear" w:color="auto" w:fill="FFFFFF"/>
        </w:rPr>
      </w:pPr>
    </w:p>
    <w:p w14:paraId="02B0E949" w14:textId="7408BF34" w:rsidR="00E26C18" w:rsidRDefault="00000000">
      <w:pPr>
        <w:pStyle w:val="Default"/>
        <w:suppressAutoHyphens/>
        <w:spacing w:before="0" w:after="240" w:line="240" w:lineRule="auto"/>
        <w:rPr>
          <w:rStyle w:val="None"/>
          <w:rFonts w:ascii="Times Roman" w:eastAsia="Times Roman" w:hAnsi="Times Roman" w:cs="Times Roman"/>
          <w:sz w:val="28"/>
          <w:szCs w:val="28"/>
        </w:rPr>
      </w:pPr>
      <w:r>
        <w:rPr>
          <w:rFonts w:ascii="Times Roman" w:hAnsi="Times Roman"/>
          <w:b/>
          <w:bCs/>
          <w:sz w:val="28"/>
          <w:szCs w:val="28"/>
        </w:rPr>
        <w:t xml:space="preserve">LOCAL SECTIONALS: MORE SILVER AND </w:t>
      </w:r>
      <w:r w:rsidR="00DB1AD1">
        <w:rPr>
          <w:rFonts w:ascii="Times Roman" w:hAnsi="Times Roman"/>
          <w:b/>
          <w:bCs/>
          <w:sz w:val="28"/>
          <w:szCs w:val="28"/>
        </w:rPr>
        <w:t>STAKEHOLDER AUTONOMY</w:t>
      </w:r>
      <w:r>
        <w:rPr>
          <w:rFonts w:ascii="Times Roman" w:hAnsi="Times Roman"/>
          <w:b/>
          <w:bCs/>
          <w:sz w:val="28"/>
          <w:szCs w:val="28"/>
        </w:rPr>
        <w:t xml:space="preserve"> </w:t>
      </w:r>
    </w:p>
    <w:p w14:paraId="57F24745" w14:textId="77777777" w:rsidR="00E26C18" w:rsidRDefault="00000000">
      <w:pPr>
        <w:pStyle w:val="Default"/>
        <w:suppressAutoHyphens/>
        <w:spacing w:before="0" w:after="240" w:line="240" w:lineRule="auto"/>
        <w:rPr>
          <w:rFonts w:ascii="Times Roman" w:eastAsia="Times Roman" w:hAnsi="Times Roman" w:cs="Times Roman"/>
        </w:rPr>
      </w:pPr>
      <w:r>
        <w:rPr>
          <w:rStyle w:val="None"/>
          <w:rFonts w:ascii="Times Roman" w:hAnsi="Times Roman"/>
          <w:b/>
          <w:bCs/>
        </w:rPr>
        <w:t>Motion 262-BR05</w:t>
      </w:r>
      <w:r>
        <w:rPr>
          <w:rFonts w:ascii="Times Roman" w:hAnsi="Times Roman"/>
        </w:rPr>
        <w:t xml:space="preserve"> grants Units and Districts the authority to use ACBL Certified Local Sectional Directors for Local Sectionals, while also awarding players 100% Silver Masterpoints, effective January 1, 2027.</w:t>
      </w:r>
    </w:p>
    <w:p w14:paraId="2CB42437" w14:textId="1522607B" w:rsidR="00E26C18" w:rsidRDefault="00000000">
      <w:pPr>
        <w:pStyle w:val="Default"/>
        <w:suppressAutoHyphens/>
        <w:spacing w:before="0" w:after="240" w:line="240" w:lineRule="auto"/>
        <w:rPr>
          <w:rFonts w:ascii="Times Roman" w:eastAsia="Times Roman" w:hAnsi="Times Roman" w:cs="Times Roman"/>
        </w:rPr>
      </w:pPr>
      <w:r>
        <w:rPr>
          <w:rFonts w:ascii="Times Roman" w:hAnsi="Times Roman"/>
        </w:rPr>
        <w:t>Designed to support low-cost, accessible bridge, these tournaments allow Units to host up to six events annually. Each two- to three-day tournament is limited to two sessions daily (six total per event) and capped at roughly 25 tables per session. Sessions may include up to two single-session pair games or one- to two-session Swiss Team events. Stratification is permitted, but Pair and Team games cannot run simultaneously.</w:t>
      </w:r>
    </w:p>
    <w:p w14:paraId="15DE22D5" w14:textId="77777777" w:rsidR="00E26C18" w:rsidRDefault="00000000">
      <w:pPr>
        <w:pStyle w:val="Default"/>
        <w:suppressAutoHyphens/>
        <w:spacing w:before="0" w:line="240" w:lineRule="auto"/>
        <w:rPr>
          <w:rFonts w:ascii="Times New Roman" w:eastAsia="Times New Roman" w:hAnsi="Times New Roman" w:cs="Times New Roman"/>
          <w:shd w:val="clear" w:color="auto" w:fill="FFFFFF"/>
        </w:rPr>
      </w:pPr>
      <w:r>
        <w:rPr>
          <w:rStyle w:val="None"/>
          <w:rFonts w:ascii="Times New Roman" w:hAnsi="Times New Roman"/>
          <w:b/>
          <w:bCs/>
          <w:shd w:val="clear" w:color="auto" w:fill="FFFFFF"/>
        </w:rPr>
        <w:t xml:space="preserve">Motion 262-BR01 </w:t>
      </w:r>
      <w:r>
        <w:rPr>
          <w:rFonts w:ascii="Times New Roman" w:hAnsi="Times New Roman"/>
          <w:shd w:val="clear" w:color="auto" w:fill="FFFFFF"/>
        </w:rPr>
        <w:t xml:space="preserve">revises the Codification to reflect that Spanish may be spoken by players at the table in Mexico. </w:t>
      </w:r>
    </w:p>
    <w:p w14:paraId="6F0561A5" w14:textId="77777777" w:rsidR="00E26C18" w:rsidRDefault="00E26C18">
      <w:pPr>
        <w:pStyle w:val="Default"/>
        <w:suppressAutoHyphens/>
        <w:spacing w:before="0" w:line="337" w:lineRule="atLeast"/>
        <w:rPr>
          <w:rFonts w:ascii="Times New Roman" w:eastAsia="Times New Roman" w:hAnsi="Times New Roman" w:cs="Times New Roman"/>
          <w14:textFill>
            <w14:solidFill>
              <w14:srgbClr w14:val="000000">
                <w14:alpha w14:val="15293"/>
              </w14:srgbClr>
            </w14:solidFill>
          </w14:textFill>
        </w:rPr>
      </w:pPr>
    </w:p>
    <w:p w14:paraId="3C7FDD38" w14:textId="77777777" w:rsidR="00E26C18" w:rsidRDefault="00000000">
      <w:pPr>
        <w:pStyle w:val="Default"/>
        <w:suppressAutoHyphens/>
        <w:spacing w:before="0" w:line="337" w:lineRule="atLeast"/>
        <w:rPr>
          <w:rFonts w:ascii="Times New Roman" w:eastAsia="Times New Roman" w:hAnsi="Times New Roman" w:cs="Times New Roman"/>
          <w14:textFill>
            <w14:solidFill>
              <w14:srgbClr w14:val="000000">
                <w14:alpha w14:val="15293"/>
              </w14:srgbClr>
            </w14:solidFill>
          </w14:textFill>
        </w:rPr>
      </w:pPr>
      <w:r>
        <w:rPr>
          <w:rStyle w:val="None"/>
          <w:rFonts w:ascii="Times New Roman" w:hAnsi="Times New Roman"/>
          <w:b/>
          <w:bCs/>
          <w14:textFill>
            <w14:solidFill>
              <w14:srgbClr w14:val="000000">
                <w14:alpha w14:val="15293"/>
              </w14:srgbClr>
            </w14:solidFill>
          </w14:textFill>
        </w:rPr>
        <w:t>Motion 262-BR04</w:t>
      </w:r>
      <w:r>
        <w:rPr>
          <w:rFonts w:ascii="Times New Roman" w:hAnsi="Times New Roman"/>
          <w14:textFill>
            <w14:solidFill>
              <w14:srgbClr w14:val="000000">
                <w14:alpha w14:val="15293"/>
              </w14:srgbClr>
            </w14:solidFill>
          </w14:textFill>
        </w:rPr>
        <w:t xml:space="preserve"> revises the 0-10,000 Knockout Teams Special Conditions of Contest so that the event begins with a Swiss team qualifying stage on the first day, cutting the field to an appropriate number for Knockout play.  </w:t>
      </w:r>
    </w:p>
    <w:p w14:paraId="105684F0" w14:textId="77777777" w:rsidR="00E26C18" w:rsidRDefault="00E26C18">
      <w:pPr>
        <w:pStyle w:val="Default"/>
        <w:suppressAutoHyphens/>
        <w:spacing w:before="0" w:line="240" w:lineRule="auto"/>
        <w:rPr>
          <w:rFonts w:ascii="Times New Roman" w:eastAsia="Times New Roman" w:hAnsi="Times New Roman" w:cs="Times New Roman"/>
          <w:shd w:val="clear" w:color="auto" w:fill="FFFFFF"/>
        </w:rPr>
      </w:pPr>
    </w:p>
    <w:p w14:paraId="6236ABA0" w14:textId="77777777" w:rsidR="00E26C18" w:rsidRDefault="00000000">
      <w:pPr>
        <w:pStyle w:val="Default"/>
        <w:suppressAutoHyphens/>
        <w:spacing w:before="0" w:line="240" w:lineRule="auto"/>
        <w:rPr>
          <w:rFonts w:ascii="Times New Roman" w:eastAsia="Times New Roman" w:hAnsi="Times New Roman" w:cs="Times New Roman"/>
          <w:sz w:val="28"/>
          <w:szCs w:val="28"/>
          <w:shd w:val="clear" w:color="auto" w:fill="FFFFFF"/>
        </w:rPr>
      </w:pPr>
      <w:r>
        <w:rPr>
          <w:rStyle w:val="None"/>
          <w:rFonts w:ascii="Times New Roman" w:hAnsi="Times New Roman"/>
          <w:b/>
          <w:bCs/>
          <w:sz w:val="28"/>
          <w:szCs w:val="28"/>
          <w:shd w:val="clear" w:color="auto" w:fill="FFFFFF"/>
        </w:rPr>
        <w:t>GRASS ROOTS FUNDING</w:t>
      </w:r>
    </w:p>
    <w:p w14:paraId="6662FB0E" w14:textId="77777777" w:rsidR="00E26C18" w:rsidRDefault="00E26C18">
      <w:pPr>
        <w:pStyle w:val="Default"/>
        <w:suppressAutoHyphens/>
        <w:spacing w:before="0" w:line="240" w:lineRule="auto"/>
        <w:rPr>
          <w:rFonts w:ascii="Times New Roman" w:eastAsia="Times New Roman" w:hAnsi="Times New Roman" w:cs="Times New Roman"/>
          <w:shd w:val="clear" w:color="auto" w:fill="FFFFFF"/>
        </w:rPr>
      </w:pPr>
    </w:p>
    <w:p w14:paraId="7E46316E" w14:textId="77777777" w:rsidR="00E26C18" w:rsidRDefault="00000000">
      <w:pPr>
        <w:pStyle w:val="Default"/>
        <w:suppressAutoHyphens/>
        <w:spacing w:before="0" w:after="240" w:line="240" w:lineRule="auto"/>
        <w:rPr>
          <w:rFonts w:ascii="Times Roman" w:eastAsia="Times Roman" w:hAnsi="Times Roman" w:cs="Times Roman"/>
        </w:rPr>
      </w:pPr>
      <w:r>
        <w:rPr>
          <w:rFonts w:ascii="Times Roman" w:hAnsi="Times Roman"/>
        </w:rPr>
        <w:t>The Board discussed the funding structure, including projected balances, District chargebacks, and entry fee allocations, alongside strategies to strengthen District Grass Roots funds.</w:t>
      </w:r>
    </w:p>
    <w:p w14:paraId="65E357FF" w14:textId="5FAE6F34" w:rsidR="00E26C18" w:rsidRDefault="00B6600D">
      <w:pPr>
        <w:pStyle w:val="Default"/>
        <w:suppressAutoHyphens/>
        <w:spacing w:before="0" w:after="240" w:line="240" w:lineRule="auto"/>
        <w:rPr>
          <w:rFonts w:ascii="Times Roman" w:eastAsia="Times Roman" w:hAnsi="Times Roman" w:cs="Times Roman"/>
        </w:rPr>
      </w:pPr>
      <w:r>
        <w:rPr>
          <w:rFonts w:ascii="Times Roman" w:hAnsi="Times Roman"/>
        </w:rPr>
        <w:t>The Director of Finance reiterated a corrected chargeback calculation that aligns District assessments with actual event sessions (two sessions per day). For the 2026 Grand National Teams (GNT) events, ACBL will cover the Championship flight entry fees for Days 1 and 2. Entry fees for Flights A, B, and C for those same days will be billed to the Districts in August 2026 using the corrected formula. Any District with insufficient Grass Roots funds to cover this chargeback will have the debt forgiven for 2026.</w:t>
      </w:r>
    </w:p>
    <w:p w14:paraId="5DB3C866" w14:textId="5FDF2B14" w:rsidR="00E26C18" w:rsidRDefault="00000000">
      <w:pPr>
        <w:pStyle w:val="Default"/>
        <w:suppressAutoHyphens/>
        <w:spacing w:before="0" w:after="240" w:line="240" w:lineRule="auto"/>
        <w:rPr>
          <w:rFonts w:ascii="Times Roman" w:eastAsia="Times Roman" w:hAnsi="Times Roman" w:cs="Times Roman"/>
        </w:rPr>
      </w:pPr>
      <w:r>
        <w:rPr>
          <w:rFonts w:ascii="Times Roman" w:hAnsi="Times Roman"/>
        </w:rPr>
        <w:t xml:space="preserve">Management and the Board will continue to reach out to District </w:t>
      </w:r>
      <w:r w:rsidR="00B6600D">
        <w:rPr>
          <w:rFonts w:ascii="Times Roman" w:hAnsi="Times Roman"/>
        </w:rPr>
        <w:t>stakeholders</w:t>
      </w:r>
      <w:r>
        <w:rPr>
          <w:rFonts w:ascii="Times Roman" w:hAnsi="Times Roman"/>
        </w:rPr>
        <w:t xml:space="preserve"> with strategies to help them expand local fundraising efforts and cover these costs moving forward.</w:t>
      </w:r>
    </w:p>
    <w:p w14:paraId="551BC712" w14:textId="77777777" w:rsidR="00E26C18" w:rsidRDefault="00E26C18">
      <w:pPr>
        <w:pStyle w:val="Default"/>
        <w:suppressAutoHyphens/>
        <w:spacing w:before="0" w:line="240" w:lineRule="auto"/>
        <w:rPr>
          <w:rFonts w:ascii="Times New Roman" w:eastAsia="Times New Roman" w:hAnsi="Times New Roman" w:cs="Times New Roman"/>
          <w:sz w:val="28"/>
          <w:szCs w:val="28"/>
          <w:shd w:val="clear" w:color="auto" w:fill="FFFFFF"/>
        </w:rPr>
      </w:pPr>
    </w:p>
    <w:p w14:paraId="25B0EB76" w14:textId="77777777" w:rsidR="00E26C18" w:rsidRDefault="00000000">
      <w:pPr>
        <w:pStyle w:val="Default"/>
        <w:suppressAutoHyphens/>
        <w:spacing w:before="0" w:line="240" w:lineRule="auto"/>
        <w:rPr>
          <w:rFonts w:ascii="Times New Roman" w:eastAsia="Times New Roman" w:hAnsi="Times New Roman" w:cs="Times New Roman"/>
          <w:b/>
          <w:bCs/>
          <w:sz w:val="28"/>
          <w:szCs w:val="28"/>
          <w:shd w:val="clear" w:color="auto" w:fill="FFFFFF"/>
        </w:rPr>
      </w:pPr>
      <w:r>
        <w:rPr>
          <w:rFonts w:ascii="Times New Roman" w:hAnsi="Times New Roman"/>
          <w:b/>
          <w:bCs/>
          <w:sz w:val="28"/>
          <w:szCs w:val="28"/>
          <w:shd w:val="clear" w:color="auto" w:fill="FFFFFF"/>
        </w:rPr>
        <w:t>UNIT TASK FORCE</w:t>
      </w:r>
    </w:p>
    <w:p w14:paraId="0F45D341" w14:textId="77777777" w:rsidR="00E26C18" w:rsidRDefault="00000000">
      <w:pPr>
        <w:pStyle w:val="Default"/>
        <w:suppressAutoHyphens/>
        <w:spacing w:before="0" w:line="337" w:lineRule="atLeast"/>
        <w:rPr>
          <w:rStyle w:val="None"/>
          <w:rFonts w:ascii="Calibri" w:eastAsia="Calibri" w:hAnsi="Calibri" w:cs="Calibri"/>
          <w:b/>
          <w:bCs/>
          <w:sz w:val="29"/>
          <w:szCs w:val="29"/>
          <w14:textFill>
            <w14:solidFill>
              <w14:srgbClr w14:val="000000">
                <w14:alpha w14:val="15293"/>
              </w14:srgbClr>
            </w14:solidFill>
          </w14:textFill>
        </w:rPr>
      </w:pPr>
      <w:r>
        <w:rPr>
          <w:rFonts w:ascii="Helvetica" w:hAnsi="Helvetica"/>
          <w:b/>
          <w:bCs/>
          <w:sz w:val="29"/>
          <w:szCs w:val="29"/>
          <w14:textFill>
            <w14:solidFill>
              <w14:srgbClr w14:val="000000">
                <w14:alpha w14:val="15293"/>
              </w14:srgbClr>
            </w14:solidFill>
          </w14:textFill>
        </w:rPr>
        <w:t> </w:t>
      </w:r>
    </w:p>
    <w:p w14:paraId="14350A1E" w14:textId="53EA7B23" w:rsidR="00E26C18" w:rsidRPr="00DB1AD1" w:rsidRDefault="00000000" w:rsidP="00DB1AD1">
      <w:pPr>
        <w:pStyle w:val="Default"/>
        <w:suppressAutoHyphens/>
        <w:spacing w:before="0" w:after="240" w:line="240" w:lineRule="auto"/>
        <w:rPr>
          <w:rFonts w:ascii="Times New Roman" w:eastAsia="Times New Roman" w:hAnsi="Times New Roman" w:cs="Times New Roman"/>
        </w:rPr>
      </w:pPr>
      <w:r>
        <w:rPr>
          <w:rFonts w:ascii="Times New Roman" w:hAnsi="Times New Roman"/>
        </w:rPr>
        <w:t xml:space="preserve">The Unit Task Force is evaluating the long-term sustainability of local Units and clarifying the division of responsibilities between Units and the ACBL. The Task Force is assessing operational challenges to develop strategies that support Units of varying sizes and </w:t>
      </w:r>
      <w:r>
        <w:rPr>
          <w:rFonts w:ascii="Times New Roman" w:hAnsi="Times New Roman"/>
        </w:rPr>
        <w:lastRenderedPageBreak/>
        <w:t>circumstances.</w:t>
      </w:r>
      <w:r w:rsidR="00DB1AD1">
        <w:rPr>
          <w:rFonts w:ascii="Times New Roman" w:hAnsi="Times New Roman"/>
        </w:rPr>
        <w:t xml:space="preserve"> </w:t>
      </w:r>
      <w:r>
        <w:rPr>
          <w:rFonts w:ascii="Times New Roman" w:hAnsi="Times New Roman"/>
        </w:rPr>
        <w:t xml:space="preserve">To inform this work, the Task Force is reviewing existing governance documents, and engaging Unit and District leadership to gather direct feedback from Units. </w:t>
      </w:r>
      <w:r>
        <w:rPr>
          <w:rFonts w:ascii="Times Roman" w:hAnsi="Times Roman"/>
        </w:rPr>
        <w:t>An update—including proposed Codification changes and operational guidance—will be presented to the Board this fall.</w:t>
      </w:r>
    </w:p>
    <w:p w14:paraId="51D1CED4" w14:textId="77777777" w:rsidR="00E26C18" w:rsidRDefault="00000000">
      <w:pPr>
        <w:pStyle w:val="Default"/>
        <w:suppressAutoHyphens/>
        <w:spacing w:before="0" w:after="240" w:line="240" w:lineRule="auto"/>
        <w:rPr>
          <w:rFonts w:ascii="Times Roman" w:eastAsia="Times Roman" w:hAnsi="Times Roman" w:cs="Times Roman"/>
          <w:b/>
          <w:bCs/>
          <w:sz w:val="28"/>
          <w:szCs w:val="28"/>
        </w:rPr>
      </w:pPr>
      <w:r>
        <w:rPr>
          <w:rFonts w:ascii="Times Roman" w:hAnsi="Times Roman"/>
          <w:b/>
          <w:bCs/>
          <w:sz w:val="28"/>
          <w:szCs w:val="28"/>
        </w:rPr>
        <w:t xml:space="preserve">GOVERNANCE </w:t>
      </w:r>
    </w:p>
    <w:p w14:paraId="78F8821D" w14:textId="77777777" w:rsidR="00E26C18" w:rsidRDefault="00000000">
      <w:pPr>
        <w:pStyle w:val="Body"/>
        <w:rPr>
          <w:rFonts w:ascii="Times New Roman" w:eastAsia="Times New Roman" w:hAnsi="Times New Roman" w:cs="Times New Roman"/>
          <w:sz w:val="24"/>
          <w:szCs w:val="24"/>
        </w:rPr>
      </w:pPr>
      <w:r>
        <w:rPr>
          <w:rFonts w:ascii="Times New Roman" w:hAnsi="Times New Roman"/>
          <w:sz w:val="24"/>
          <w:szCs w:val="24"/>
        </w:rPr>
        <w:t xml:space="preserve">Governance continues to streamline the ACBL Codification.  Policies and procedures are being repositioned among the Codification, the Board Resource Manual, Board-Directed Policies and public resources.  Any substantive changes to policies and procedures will continue to be subject to Board approval.  </w:t>
      </w:r>
    </w:p>
    <w:p w14:paraId="70A49056" w14:textId="77777777" w:rsidR="00E26C18" w:rsidRDefault="00E26C18">
      <w:pPr>
        <w:pStyle w:val="Body"/>
        <w:rPr>
          <w:rFonts w:ascii="Times New Roman" w:eastAsia="Times New Roman" w:hAnsi="Times New Roman" w:cs="Times New Roman"/>
          <w:sz w:val="24"/>
          <w:szCs w:val="24"/>
        </w:rPr>
      </w:pPr>
    </w:p>
    <w:p w14:paraId="6C5EC6CC" w14:textId="77777777" w:rsidR="00E26C18" w:rsidRDefault="00000000">
      <w:pPr>
        <w:pStyle w:val="Body"/>
        <w:rPr>
          <w:rFonts w:ascii="Times New Roman" w:eastAsia="Times New Roman" w:hAnsi="Times New Roman" w:cs="Times New Roman"/>
          <w:sz w:val="24"/>
          <w:szCs w:val="24"/>
        </w:rPr>
      </w:pPr>
      <w:r>
        <w:rPr>
          <w:rFonts w:ascii="Times New Roman" w:hAnsi="Times New Roman"/>
          <w:sz w:val="24"/>
          <w:szCs w:val="24"/>
        </w:rPr>
        <w:t>These charters establish clear scope and accountability—fostering productivity, leadership transitions, and effective stewardship across all committees. Replacing previously inconsistent and outdated information, all charters will reside in a central Committee Charter Manual subject to annual Board review and approval.</w:t>
      </w:r>
    </w:p>
    <w:p w14:paraId="0AFD7BBF" w14:textId="77777777" w:rsidR="00E26C18" w:rsidRDefault="00E26C18">
      <w:pPr>
        <w:pStyle w:val="Body"/>
        <w:rPr>
          <w:rFonts w:ascii="Times New Roman" w:eastAsia="Times New Roman" w:hAnsi="Times New Roman" w:cs="Times New Roman"/>
          <w:sz w:val="24"/>
          <w:szCs w:val="24"/>
        </w:rPr>
      </w:pPr>
    </w:p>
    <w:p w14:paraId="4C73C6A3" w14:textId="77777777" w:rsidR="00E26C18" w:rsidRDefault="00000000">
      <w:pPr>
        <w:pStyle w:val="Default"/>
        <w:suppressAutoHyphens/>
        <w:spacing w:before="0" w:line="240" w:lineRule="auto"/>
        <w:rPr>
          <w:rFonts w:ascii="Times New Roman" w:eastAsia="Times New Roman" w:hAnsi="Times New Roman" w:cs="Times New Roman"/>
          <w:b/>
          <w:bCs/>
        </w:rPr>
      </w:pPr>
      <w:r>
        <w:rPr>
          <w:rFonts w:ascii="Times New Roman" w:hAnsi="Times New Roman"/>
          <w:b/>
          <w:bCs/>
        </w:rPr>
        <w:t xml:space="preserve">BYLAWS </w:t>
      </w:r>
    </w:p>
    <w:p w14:paraId="10982FAA" w14:textId="77777777" w:rsidR="00E26C18" w:rsidRDefault="00E26C18">
      <w:pPr>
        <w:pStyle w:val="Default"/>
        <w:suppressAutoHyphens/>
        <w:spacing w:before="0" w:line="240" w:lineRule="auto"/>
        <w:rPr>
          <w:rFonts w:ascii="Times New Roman" w:eastAsia="Times New Roman" w:hAnsi="Times New Roman" w:cs="Times New Roman"/>
        </w:rPr>
      </w:pPr>
    </w:p>
    <w:p w14:paraId="1425C2BE" w14:textId="6C1509E2" w:rsidR="00E26C18" w:rsidRDefault="00000000">
      <w:pPr>
        <w:pStyle w:val="Default"/>
        <w:suppressAutoHyphens/>
        <w:spacing w:before="0" w:line="240" w:lineRule="auto"/>
        <w:rPr>
          <w:rFonts w:ascii="Times New Roman" w:eastAsia="Times New Roman" w:hAnsi="Times New Roman" w:cs="Times New Roman"/>
        </w:rPr>
      </w:pPr>
      <w:r>
        <w:rPr>
          <w:rFonts w:ascii="Times New Roman" w:hAnsi="Times New Roman"/>
          <w:b/>
          <w:bCs/>
        </w:rPr>
        <w:t xml:space="preserve">Motion 262-BY01 (Second Reading) </w:t>
      </w:r>
      <w:r>
        <w:rPr>
          <w:rStyle w:val="None"/>
          <w:rFonts w:ascii="Times New Roman" w:hAnsi="Times New Roman"/>
        </w:rPr>
        <w:t>removes the requirement that the Advisory Council (AC) maintain</w:t>
      </w:r>
      <w:r w:rsidR="00CA4674">
        <w:rPr>
          <w:rStyle w:val="None"/>
          <w:rFonts w:ascii="Times New Roman" w:eastAsia="Times New Roman" w:hAnsi="Times New Roman" w:cs="Times New Roman"/>
        </w:rPr>
        <w:t xml:space="preserve"> </w:t>
      </w:r>
      <w:r>
        <w:rPr>
          <w:rFonts w:ascii="Times New Roman" w:hAnsi="Times New Roman"/>
        </w:rPr>
        <w:t xml:space="preserve">specific standing committees, allowing AC leaders to </w:t>
      </w:r>
      <w:r w:rsidRPr="004D28B8">
        <w:rPr>
          <w:rFonts w:ascii="Times New Roman" w:hAnsi="Times New Roman"/>
        </w:rPr>
        <w:t>determine</w:t>
      </w:r>
      <w:r>
        <w:rPr>
          <w:rFonts w:ascii="Times New Roman" w:hAnsi="Times New Roman"/>
        </w:rPr>
        <w:t xml:space="preserve"> which committees are needed. </w:t>
      </w:r>
    </w:p>
    <w:p w14:paraId="07ACA647" w14:textId="77777777" w:rsidR="00E26C18" w:rsidRDefault="00E26C18">
      <w:pPr>
        <w:pStyle w:val="Default"/>
        <w:suppressAutoHyphens/>
        <w:spacing w:before="0" w:line="240" w:lineRule="auto"/>
        <w:rPr>
          <w:rFonts w:ascii="Times New Roman" w:eastAsia="Times New Roman" w:hAnsi="Times New Roman" w:cs="Times New Roman"/>
          <w:b/>
          <w:bCs/>
        </w:rPr>
      </w:pPr>
    </w:p>
    <w:p w14:paraId="0573AE90" w14:textId="085F39FD" w:rsidR="00E26C18" w:rsidRDefault="00000000">
      <w:pPr>
        <w:pStyle w:val="Default"/>
        <w:suppressAutoHyphens/>
        <w:spacing w:before="0" w:line="240" w:lineRule="auto"/>
        <w:rPr>
          <w:rStyle w:val="None"/>
          <w:rFonts w:ascii="Times New Roman" w:eastAsia="Times New Roman" w:hAnsi="Times New Roman" w:cs="Times New Roman"/>
        </w:rPr>
      </w:pPr>
      <w:r>
        <w:rPr>
          <w:rFonts w:ascii="Times New Roman" w:hAnsi="Times New Roman"/>
          <w:b/>
          <w:bCs/>
        </w:rPr>
        <w:t>Motion 262-BY02 (First Reading)</w:t>
      </w:r>
      <w:r>
        <w:rPr>
          <w:rStyle w:val="None"/>
          <w:rFonts w:ascii="Times New Roman" w:hAnsi="Times New Roman"/>
        </w:rPr>
        <w:t xml:space="preserve"> provides further updates to </w:t>
      </w:r>
      <w:r w:rsidR="00CA4674">
        <w:rPr>
          <w:rStyle w:val="None"/>
          <w:rFonts w:ascii="Times New Roman" w:hAnsi="Times New Roman"/>
        </w:rPr>
        <w:t>B</w:t>
      </w:r>
      <w:r>
        <w:rPr>
          <w:rStyle w:val="None"/>
          <w:rFonts w:ascii="Times New Roman" w:hAnsi="Times New Roman"/>
        </w:rPr>
        <w:t>ylaws language to render it</w:t>
      </w:r>
    </w:p>
    <w:p w14:paraId="41FC89B4" w14:textId="77777777" w:rsidR="00E26C18" w:rsidRDefault="00000000">
      <w:pPr>
        <w:pStyle w:val="Default"/>
        <w:suppressAutoHyphens/>
        <w:spacing w:before="0" w:line="240" w:lineRule="auto"/>
        <w:rPr>
          <w:rFonts w:ascii="Times New Roman" w:eastAsia="Times New Roman" w:hAnsi="Times New Roman" w:cs="Times New Roman"/>
        </w:rPr>
      </w:pPr>
      <w:proofErr w:type="gramStart"/>
      <w:r>
        <w:rPr>
          <w:rFonts w:ascii="Times New Roman" w:hAnsi="Times New Roman"/>
        </w:rPr>
        <w:t>gender-neutral</w:t>
      </w:r>
      <w:proofErr w:type="gramEnd"/>
      <w:r>
        <w:rPr>
          <w:rFonts w:ascii="Times New Roman" w:hAnsi="Times New Roman"/>
        </w:rPr>
        <w:t>.</w:t>
      </w:r>
    </w:p>
    <w:p w14:paraId="103B8B7F" w14:textId="77777777" w:rsidR="00E26C18" w:rsidRDefault="00E26C18">
      <w:pPr>
        <w:pStyle w:val="Default"/>
        <w:suppressAutoHyphens/>
        <w:spacing w:before="0" w:line="240" w:lineRule="auto"/>
        <w:rPr>
          <w:rFonts w:ascii="Times New Roman" w:eastAsia="Times New Roman" w:hAnsi="Times New Roman" w:cs="Times New Roman"/>
          <w:b/>
          <w:bCs/>
        </w:rPr>
      </w:pPr>
    </w:p>
    <w:p w14:paraId="57633717" w14:textId="77777777" w:rsidR="00E26C18" w:rsidRDefault="00000000">
      <w:pPr>
        <w:pStyle w:val="Default"/>
        <w:suppressAutoHyphens/>
        <w:spacing w:before="0" w:line="240" w:lineRule="auto"/>
        <w:rPr>
          <w:rStyle w:val="None"/>
          <w:rFonts w:ascii="Times New Roman" w:eastAsia="Times New Roman" w:hAnsi="Times New Roman" w:cs="Times New Roman"/>
        </w:rPr>
      </w:pPr>
      <w:r>
        <w:rPr>
          <w:rFonts w:ascii="Times New Roman" w:hAnsi="Times New Roman"/>
          <w:b/>
          <w:bCs/>
        </w:rPr>
        <w:t xml:space="preserve">Motion 262-BY03 (First Reading) </w:t>
      </w:r>
      <w:r>
        <w:rPr>
          <w:rStyle w:val="None"/>
          <w:rFonts w:ascii="Times New Roman" w:hAnsi="Times New Roman"/>
        </w:rPr>
        <w:t>removes stringent Board Meeting Notice Requirements to provide for greater flexibility in accordance with New York state law governing non-profit organizations.</w:t>
      </w:r>
    </w:p>
    <w:p w14:paraId="144550CA" w14:textId="77777777" w:rsidR="00E26C18" w:rsidRDefault="00000000">
      <w:pPr>
        <w:pStyle w:val="Default"/>
        <w:suppressAutoHyphens/>
        <w:spacing w:before="0" w:line="240" w:lineRule="auto"/>
        <w:rPr>
          <w:rFonts w:ascii="Times New Roman" w:eastAsia="Times New Roman" w:hAnsi="Times New Roman" w:cs="Times New Roman"/>
          <w:b/>
          <w:bCs/>
        </w:rPr>
      </w:pPr>
      <w:r>
        <w:rPr>
          <w:rFonts w:ascii="Times New Roman" w:eastAsia="Times New Roman" w:hAnsi="Times New Roman" w:cs="Times New Roman"/>
          <w:b/>
          <w:bCs/>
        </w:rPr>
        <w:tab/>
      </w:r>
    </w:p>
    <w:p w14:paraId="4FC9AFE6" w14:textId="6581C081" w:rsidR="00E26C18" w:rsidRPr="00DB1AD1" w:rsidRDefault="00000000" w:rsidP="00DB1AD1">
      <w:pPr>
        <w:pStyle w:val="Default"/>
        <w:suppressAutoHyphens/>
        <w:spacing w:before="0" w:line="240" w:lineRule="auto"/>
        <w:rPr>
          <w:rFonts w:ascii="Times New Roman" w:eastAsia="Times New Roman" w:hAnsi="Times New Roman" w:cs="Times New Roman"/>
        </w:rPr>
      </w:pPr>
      <w:r>
        <w:rPr>
          <w:rFonts w:ascii="Times New Roman" w:hAnsi="Times New Roman"/>
          <w:b/>
          <w:bCs/>
        </w:rPr>
        <w:t xml:space="preserve">Motion 262-BY04 (First Reading) </w:t>
      </w:r>
      <w:r>
        <w:rPr>
          <w:rStyle w:val="None"/>
          <w:rFonts w:ascii="Times New Roman" w:hAnsi="Times New Roman"/>
        </w:rPr>
        <w:t xml:space="preserve">revises the composition of the Board’s Executive Committee, removing the requirement for the Vice President to be a </w:t>
      </w:r>
      <w:proofErr w:type="gramStart"/>
      <w:r>
        <w:rPr>
          <w:rStyle w:val="None"/>
          <w:rFonts w:ascii="Times New Roman" w:hAnsi="Times New Roman"/>
        </w:rPr>
        <w:t>Member</w:t>
      </w:r>
      <w:proofErr w:type="gramEnd"/>
      <w:r>
        <w:rPr>
          <w:rStyle w:val="None"/>
          <w:rFonts w:ascii="Times New Roman" w:hAnsi="Times New Roman"/>
        </w:rPr>
        <w:t xml:space="preserve">.  Also, it establishes that four at-large Members and alternate Members will be elected instead of by the </w:t>
      </w:r>
      <w:r w:rsidRPr="004D28B8">
        <w:rPr>
          <w:rStyle w:val="None"/>
          <w:rFonts w:ascii="Times New Roman" w:hAnsi="Times New Roman"/>
        </w:rPr>
        <w:t>West</w:t>
      </w:r>
      <w:r>
        <w:rPr>
          <w:rStyle w:val="None"/>
          <w:rFonts w:ascii="Times New Roman" w:hAnsi="Times New Roman"/>
        </w:rPr>
        <w:t>ern, the</w:t>
      </w:r>
      <w:r w:rsidR="00A722DF">
        <w:rPr>
          <w:rStyle w:val="None"/>
          <w:rFonts w:ascii="Times New Roman" w:hAnsi="Times New Roman"/>
        </w:rPr>
        <w:t xml:space="preserve"> </w:t>
      </w:r>
      <w:r>
        <w:rPr>
          <w:rStyle w:val="None"/>
          <w:rFonts w:ascii="Times New Roman" w:hAnsi="Times New Roman"/>
        </w:rPr>
        <w:t>Central and the Eastern Zones. </w:t>
      </w:r>
    </w:p>
    <w:p w14:paraId="7F512740" w14:textId="77777777" w:rsidR="00DB1AD1" w:rsidRDefault="00DB1AD1">
      <w:pPr>
        <w:pStyle w:val="Default"/>
        <w:suppressAutoHyphens/>
        <w:spacing w:before="0" w:line="240" w:lineRule="auto"/>
        <w:rPr>
          <w:rFonts w:ascii="Times New Roman" w:hAnsi="Times New Roman"/>
          <w:b/>
          <w:bCs/>
        </w:rPr>
      </w:pPr>
    </w:p>
    <w:p w14:paraId="076DE8AB" w14:textId="3DC31032" w:rsidR="00E26C18" w:rsidRDefault="00000000">
      <w:pPr>
        <w:pStyle w:val="Default"/>
        <w:suppressAutoHyphens/>
        <w:spacing w:before="0" w:line="240" w:lineRule="auto"/>
        <w:rPr>
          <w:rStyle w:val="None"/>
          <w:rFonts w:ascii="Times New Roman" w:eastAsia="Times New Roman" w:hAnsi="Times New Roman" w:cs="Times New Roman"/>
        </w:rPr>
      </w:pPr>
      <w:r>
        <w:rPr>
          <w:rFonts w:ascii="Times New Roman" w:hAnsi="Times New Roman"/>
          <w:b/>
          <w:bCs/>
        </w:rPr>
        <w:t xml:space="preserve">Motion 262-BY05 (First Reading) </w:t>
      </w:r>
      <w:r>
        <w:rPr>
          <w:rStyle w:val="None"/>
          <w:rFonts w:ascii="Times New Roman" w:hAnsi="Times New Roman"/>
        </w:rPr>
        <w:t xml:space="preserve">provides operational flexibility for the Annual Membership Meeting by removing restrictive mandates regarding its location and specific timing. </w:t>
      </w:r>
    </w:p>
    <w:p w14:paraId="1E83A0FE" w14:textId="77777777" w:rsidR="00E26C18" w:rsidRDefault="00E26C18">
      <w:pPr>
        <w:pStyle w:val="Default"/>
        <w:suppressAutoHyphens/>
        <w:spacing w:before="0" w:line="240" w:lineRule="auto"/>
        <w:rPr>
          <w:rStyle w:val="None"/>
          <w:rFonts w:ascii="Times Roman" w:eastAsia="Times Roman" w:hAnsi="Times Roman" w:cs="Times Roman"/>
        </w:rPr>
      </w:pPr>
    </w:p>
    <w:p w14:paraId="039AB530" w14:textId="77777777" w:rsidR="00DB1AD1" w:rsidRDefault="00000000" w:rsidP="00DB1AD1">
      <w:pPr>
        <w:pStyle w:val="Default"/>
        <w:suppressAutoHyphens/>
        <w:spacing w:before="0" w:after="240" w:line="240" w:lineRule="auto"/>
        <w:rPr>
          <w:rFonts w:ascii="Times Roman" w:eastAsia="Times Roman" w:hAnsi="Times Roman" w:cs="Times Roman"/>
        </w:rPr>
      </w:pPr>
      <w:r>
        <w:rPr>
          <w:rStyle w:val="None"/>
          <w:rFonts w:ascii="Times Roman" w:hAnsi="Times Roman"/>
          <w:b/>
          <w:bCs/>
          <w:sz w:val="28"/>
          <w:szCs w:val="28"/>
        </w:rPr>
        <w:t>NEW NABC SITES</w:t>
      </w:r>
      <w:r>
        <w:rPr>
          <w:rFonts w:ascii="Times Roman" w:hAnsi="Times Roman"/>
        </w:rPr>
        <w:t xml:space="preserve">  </w:t>
      </w:r>
    </w:p>
    <w:p w14:paraId="61A8CA6B" w14:textId="47182044" w:rsidR="00E26C18" w:rsidRPr="00DB1AD1" w:rsidRDefault="00000000" w:rsidP="00DB1AD1">
      <w:pPr>
        <w:pStyle w:val="Default"/>
        <w:suppressAutoHyphens/>
        <w:spacing w:before="0" w:after="240" w:line="240" w:lineRule="auto"/>
        <w:rPr>
          <w:rFonts w:ascii="Times Roman" w:eastAsia="Times Roman" w:hAnsi="Times Roman" w:cs="Times Roman"/>
        </w:rPr>
      </w:pPr>
      <w:r>
        <w:rPr>
          <w:rFonts w:ascii="Times New Roman" w:hAnsi="Times New Roman"/>
        </w:rPr>
        <w:t xml:space="preserve">The Board approved the following NABC sites: </w:t>
      </w:r>
    </w:p>
    <w:p w14:paraId="236A5918" w14:textId="6582C9BA" w:rsidR="00E26C18" w:rsidRDefault="00000000">
      <w:pPr>
        <w:pStyle w:val="Default"/>
        <w:suppressAutoHyphens/>
        <w:spacing w:before="0" w:line="337" w:lineRule="atLeast"/>
        <w:rPr>
          <w:rFonts w:ascii="Times New Roman" w:eastAsia="Times New Roman" w:hAnsi="Times New Roman" w:cs="Times New Roman"/>
        </w:rPr>
      </w:pPr>
      <w:r>
        <w:rPr>
          <w:rFonts w:ascii="Times New Roman" w:hAnsi="Times New Roman"/>
        </w:rPr>
        <w:t xml:space="preserve">San Francisco, California was approved as the host city for the Spring </w:t>
      </w:r>
      <w:r w:rsidR="00A722DF">
        <w:rPr>
          <w:rFonts w:ascii="Times New Roman" w:hAnsi="Times New Roman"/>
        </w:rPr>
        <w:t xml:space="preserve">2029 </w:t>
      </w:r>
      <w:r>
        <w:rPr>
          <w:rFonts w:ascii="Times New Roman" w:hAnsi="Times New Roman"/>
        </w:rPr>
        <w:t>NABC</w:t>
      </w:r>
      <w:r w:rsidR="00A722DF">
        <w:rPr>
          <w:rFonts w:ascii="Times New Roman" w:hAnsi="Times New Roman"/>
        </w:rPr>
        <w:t>.</w:t>
      </w:r>
    </w:p>
    <w:p w14:paraId="15996009" w14:textId="393D7D55" w:rsidR="00E26C18" w:rsidRDefault="00000000">
      <w:pPr>
        <w:pStyle w:val="Default"/>
        <w:suppressAutoHyphens/>
        <w:spacing w:before="0" w:line="337" w:lineRule="atLeast"/>
        <w:rPr>
          <w:rFonts w:ascii="Times New Roman" w:eastAsia="Times New Roman" w:hAnsi="Times New Roman" w:cs="Times New Roman"/>
        </w:rPr>
      </w:pPr>
      <w:r>
        <w:rPr>
          <w:rFonts w:ascii="Times New Roman" w:hAnsi="Times New Roman"/>
        </w:rPr>
        <w:t>Montr</w:t>
      </w:r>
      <w:r w:rsidRPr="004D28B8">
        <w:rPr>
          <w:rFonts w:ascii="Times New Roman" w:hAnsi="Times New Roman"/>
        </w:rPr>
        <w:t>é</w:t>
      </w:r>
      <w:r>
        <w:rPr>
          <w:rFonts w:ascii="Times New Roman" w:hAnsi="Times New Roman"/>
        </w:rPr>
        <w:t>al, Qu</w:t>
      </w:r>
      <w:r w:rsidRPr="004D28B8">
        <w:rPr>
          <w:rFonts w:ascii="Times New Roman" w:hAnsi="Times New Roman"/>
        </w:rPr>
        <w:t>é</w:t>
      </w:r>
      <w:r>
        <w:rPr>
          <w:rFonts w:ascii="Times New Roman" w:hAnsi="Times New Roman"/>
        </w:rPr>
        <w:t xml:space="preserve">bec was approved as the host city for the Spring </w:t>
      </w:r>
      <w:r w:rsidR="00A722DF">
        <w:rPr>
          <w:rFonts w:ascii="Times New Roman" w:hAnsi="Times New Roman"/>
        </w:rPr>
        <w:t xml:space="preserve">2030 </w:t>
      </w:r>
      <w:r>
        <w:rPr>
          <w:rFonts w:ascii="Times New Roman" w:hAnsi="Times New Roman"/>
        </w:rPr>
        <w:t>NABC</w:t>
      </w:r>
      <w:r w:rsidR="00A722DF">
        <w:rPr>
          <w:rFonts w:ascii="Times New Roman" w:hAnsi="Times New Roman"/>
        </w:rPr>
        <w:t>.</w:t>
      </w:r>
    </w:p>
    <w:p w14:paraId="586075A6" w14:textId="06FE03EB" w:rsidR="00E26C18" w:rsidRDefault="00000000">
      <w:pPr>
        <w:pStyle w:val="Default"/>
        <w:suppressAutoHyphens/>
        <w:spacing w:before="0" w:line="337" w:lineRule="atLeast"/>
        <w:rPr>
          <w:rFonts w:ascii="Times New Roman" w:hAnsi="Times New Roman"/>
        </w:rPr>
      </w:pPr>
      <w:r>
        <w:rPr>
          <w:rFonts w:ascii="Times New Roman" w:hAnsi="Times New Roman"/>
        </w:rPr>
        <w:t xml:space="preserve">Los Angeles, California was approved as the host city for the Fall </w:t>
      </w:r>
      <w:r w:rsidR="00A722DF">
        <w:rPr>
          <w:rFonts w:ascii="Times New Roman" w:hAnsi="Times New Roman"/>
        </w:rPr>
        <w:t xml:space="preserve">2030 </w:t>
      </w:r>
      <w:r>
        <w:rPr>
          <w:rFonts w:ascii="Times New Roman" w:hAnsi="Times New Roman"/>
        </w:rPr>
        <w:t>NABC</w:t>
      </w:r>
      <w:r w:rsidR="00A722DF">
        <w:rPr>
          <w:rFonts w:ascii="Times New Roman" w:hAnsi="Times New Roman"/>
        </w:rPr>
        <w:t>.</w:t>
      </w:r>
      <w:r>
        <w:rPr>
          <w:rFonts w:ascii="Times New Roman" w:hAnsi="Times New Roman"/>
        </w:rPr>
        <w:t xml:space="preserve"> </w:t>
      </w:r>
    </w:p>
    <w:p w14:paraId="2DA932DB" w14:textId="59E90046" w:rsidR="00E26C18" w:rsidRDefault="00E26C18">
      <w:pPr>
        <w:pStyle w:val="Default"/>
        <w:suppressAutoHyphens/>
        <w:spacing w:before="0" w:line="337" w:lineRule="atLeast"/>
      </w:pPr>
    </w:p>
    <w:sectPr w:rsidR="00E26C18">
      <w:headerReference w:type="default" r:id="rId8"/>
      <w:footerReference w:type="default" r:id="rId9"/>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0721C67" w14:textId="77777777" w:rsidR="00457435" w:rsidRDefault="00457435">
      <w:r>
        <w:separator/>
      </w:r>
    </w:p>
  </w:endnote>
  <w:endnote w:type="continuationSeparator" w:id="0">
    <w:p w14:paraId="3F0AA99A" w14:textId="77777777" w:rsidR="00457435" w:rsidRDefault="00457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Roman">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216C32" w14:textId="77777777" w:rsidR="00E26C18" w:rsidRDefault="00000000">
    <w:pPr>
      <w:pStyle w:val="HeaderFooter"/>
      <w:tabs>
        <w:tab w:val="clear" w:pos="9020"/>
        <w:tab w:val="center" w:pos="4680"/>
        <w:tab w:val="right" w:pos="9360"/>
      </w:tabs>
    </w:pPr>
    <w:r>
      <w:rPr>
        <w:rFonts w:ascii="Times New Roman" w:hAnsi="Times New Roman"/>
      </w:rPr>
      <w:tab/>
    </w:r>
    <w:r>
      <w:rPr>
        <w:rFonts w:ascii="Times New Roman" w:hAnsi="Times New Roman"/>
      </w:rPr>
      <w:tab/>
    </w: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A31E54">
      <w:rPr>
        <w:rFonts w:ascii="Times New Roman" w:hAnsi="Times New Roman"/>
        <w:noProof/>
      </w:rPr>
      <w:t>1</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C520637" w14:textId="77777777" w:rsidR="00457435" w:rsidRDefault="00457435">
      <w:r>
        <w:separator/>
      </w:r>
    </w:p>
  </w:footnote>
  <w:footnote w:type="continuationSeparator" w:id="0">
    <w:p w14:paraId="2C2AABF6" w14:textId="77777777" w:rsidR="00457435" w:rsidRDefault="004574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7B3B2F" w14:textId="77777777" w:rsidR="00E26C18" w:rsidRDefault="00E26C1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9C90DBA"/>
    <w:multiLevelType w:val="hybridMultilevel"/>
    <w:tmpl w:val="4F88890C"/>
    <w:numStyleLink w:val="Bullet"/>
  </w:abstractNum>
  <w:abstractNum w:abstractNumId="1" w15:restartNumberingAfterBreak="0">
    <w:nsid w:val="3AF7601E"/>
    <w:multiLevelType w:val="hybridMultilevel"/>
    <w:tmpl w:val="4F88890C"/>
    <w:styleLink w:val="Bullet"/>
    <w:lvl w:ilvl="0" w:tplc="14B4B920">
      <w:start w:val="1"/>
      <w:numFmt w:val="bullet"/>
      <w:lvlText w:val="•"/>
      <w:lvlJc w:val="left"/>
      <w:pPr>
        <w:ind w:left="7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1" w:tplc="7A4AD282">
      <w:start w:val="1"/>
      <w:numFmt w:val="bullet"/>
      <w:lvlText w:val="•"/>
      <w:lvlJc w:val="left"/>
      <w:pPr>
        <w:ind w:left="94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2" w:tplc="71F2DDBA">
      <w:start w:val="1"/>
      <w:numFmt w:val="bullet"/>
      <w:lvlText w:val="•"/>
      <w:lvlJc w:val="left"/>
      <w:pPr>
        <w:ind w:left="116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3" w:tplc="B5002EA0">
      <w:start w:val="1"/>
      <w:numFmt w:val="bullet"/>
      <w:lvlText w:val="•"/>
      <w:lvlJc w:val="left"/>
      <w:pPr>
        <w:ind w:left="138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4" w:tplc="3BD4936C">
      <w:start w:val="1"/>
      <w:numFmt w:val="bullet"/>
      <w:lvlText w:val="•"/>
      <w:lvlJc w:val="left"/>
      <w:pPr>
        <w:ind w:left="160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5" w:tplc="1F08DF0A">
      <w:start w:val="1"/>
      <w:numFmt w:val="bullet"/>
      <w:lvlText w:val="•"/>
      <w:lvlJc w:val="left"/>
      <w:pPr>
        <w:ind w:left="18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6" w:tplc="3992F382">
      <w:start w:val="1"/>
      <w:numFmt w:val="bullet"/>
      <w:lvlText w:val="•"/>
      <w:lvlJc w:val="left"/>
      <w:pPr>
        <w:ind w:left="204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7" w:tplc="423E9A0E">
      <w:start w:val="1"/>
      <w:numFmt w:val="bullet"/>
      <w:lvlText w:val="•"/>
      <w:lvlJc w:val="left"/>
      <w:pPr>
        <w:ind w:left="226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8" w:tplc="72361DD0">
      <w:start w:val="1"/>
      <w:numFmt w:val="bullet"/>
      <w:lvlText w:val="•"/>
      <w:lvlJc w:val="left"/>
      <w:pPr>
        <w:ind w:left="248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abstractNum>
  <w:num w:numId="1" w16cid:durableId="1949509708">
    <w:abstractNumId w:val="1"/>
  </w:num>
  <w:num w:numId="2" w16cid:durableId="199329178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C18"/>
    <w:rsid w:val="001D3EDF"/>
    <w:rsid w:val="00457435"/>
    <w:rsid w:val="00495E0A"/>
    <w:rsid w:val="004D28B8"/>
    <w:rsid w:val="00A31E54"/>
    <w:rsid w:val="00A722DF"/>
    <w:rsid w:val="00B6600D"/>
    <w:rsid w:val="00CA4674"/>
    <w:rsid w:val="00DB1AD1"/>
    <w:rsid w:val="00E26C18"/>
    <w:rsid w:val="00F4533A"/>
    <w:rsid w:val="00FB0D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EFB134E"/>
  <w15:docId w15:val="{B57F53C7-599D-AC40-AF0A-93388AA3B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outline w:val="0"/>
      <w:color w:val="0000EE"/>
      <w:u w:val="single"/>
    </w:rPr>
  </w:style>
  <w:style w:type="numbering" w:customStyle="1" w:styleId="Bullet">
    <w:name w:val="Bullet"/>
    <w:pPr>
      <w:numPr>
        <w:numId w:val="1"/>
      </w:numPr>
    </w:p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cbl.org/ethic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Pages>
  <Words>2044</Words>
  <Characters>12330</Characters>
  <Application>Microsoft Office Word</Application>
  <DocSecurity>0</DocSecurity>
  <Lines>232</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Region9-Rebecca Brown</cp:lastModifiedBy>
  <cp:revision>2</cp:revision>
  <cp:lastPrinted>2026-08-09T15:45:00Z</cp:lastPrinted>
  <dcterms:created xsi:type="dcterms:W3CDTF">2026-08-09T15:45:00Z</dcterms:created>
  <dcterms:modified xsi:type="dcterms:W3CDTF">2026-08-09T15:45:00Z</dcterms:modified>
</cp:coreProperties>
</file>