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9FB2C" w14:textId="19D75530" w:rsidR="003C6808" w:rsidRDefault="00BA6E31">
      <w:r>
        <w:t>NEW 304 Violation</w:t>
      </w:r>
    </w:p>
    <w:p w14:paraId="0CE37F4E" w14:textId="6C02AF7E" w:rsidR="00BA6E31" w:rsidRPr="00BA6E31" w:rsidRDefault="00BA6E31" w:rsidP="00BA6E31">
      <w:pPr>
        <w:ind w:left="900" w:hanging="900"/>
        <w:rPr>
          <w:sz w:val="23"/>
          <w:szCs w:val="23"/>
        </w:rPr>
      </w:pPr>
      <w:r w:rsidRPr="00BA6E31">
        <w:rPr>
          <w:b/>
          <w:bCs/>
        </w:rPr>
        <w:t>304</w:t>
      </w:r>
      <w:r w:rsidRPr="00BA6E31">
        <w:rPr>
          <w:b/>
          <w:bCs/>
          <w:sz w:val="23"/>
          <w:szCs w:val="23"/>
        </w:rPr>
        <w:t>(G)</w:t>
      </w:r>
      <w:r w:rsidRPr="00BA6E31">
        <w:rPr>
          <w:b/>
          <w:bCs/>
          <w:sz w:val="23"/>
          <w:szCs w:val="23"/>
        </w:rPr>
        <w:tab/>
      </w:r>
      <w:r w:rsidRPr="00BA6E31">
        <w:rPr>
          <w:b/>
          <w:bCs/>
          <w:sz w:val="23"/>
          <w:szCs w:val="23"/>
        </w:rPr>
        <w:t>Conduct at Tournament Venues and Related Facilities</w:t>
      </w:r>
    </w:p>
    <w:p w14:paraId="6954A61E" w14:textId="77777777" w:rsidR="00BA6E31" w:rsidRPr="00BA6E31" w:rsidRDefault="00BA6E31" w:rsidP="00BA6E31">
      <w:pPr>
        <w:rPr>
          <w:sz w:val="23"/>
          <w:szCs w:val="23"/>
        </w:rPr>
      </w:pPr>
      <w:r w:rsidRPr="00BA6E31">
        <w:rPr>
          <w:sz w:val="23"/>
          <w:szCs w:val="23"/>
        </w:rPr>
        <w:t>This section applies to conduct occurring at or in connection with any ACBL tournament, including Sectionals, Regionals, and North American Bridge Championships (NABCs).</w:t>
      </w:r>
    </w:p>
    <w:p w14:paraId="107347DC" w14:textId="77777777" w:rsidR="00BA6E31" w:rsidRPr="00BA6E31" w:rsidRDefault="00BA6E31" w:rsidP="00BA6E31">
      <w:pPr>
        <w:rPr>
          <w:sz w:val="23"/>
          <w:szCs w:val="23"/>
        </w:rPr>
      </w:pPr>
      <w:r w:rsidRPr="00BA6E31">
        <w:rPr>
          <w:sz w:val="23"/>
          <w:szCs w:val="23"/>
        </w:rPr>
        <w:t>A charge under this section may be based on conduct occurring in playing areas, tournament venues, host hotels, restaurants, bars, convention facilities, or other premises reasonably associated with tournament activities or lodging arrangements. A charge may be based on conduct that is unlawful, disruptive, abusive, reckless, threatening, harassing, or otherwise inconsistent with maintaining a safe, orderly, and professionally conducted tournament environment. This section does not apply to independently operated clubs conducting sanctioned club games.</w:t>
      </w:r>
    </w:p>
    <w:p w14:paraId="6AC208C7" w14:textId="58E7C75D" w:rsidR="00BA6E31" w:rsidRPr="00BA6E31" w:rsidRDefault="00BA6E31" w:rsidP="00BA6E31">
      <w:pPr>
        <w:rPr>
          <w:sz w:val="23"/>
          <w:szCs w:val="23"/>
        </w:rPr>
      </w:pPr>
      <w:r w:rsidRPr="00BA6E31">
        <w:rPr>
          <w:sz w:val="23"/>
          <w:szCs w:val="23"/>
        </w:rPr>
        <w:t>This section includes conduct affecting tournament venues, hotels, convention centers, restaurants, venue employees or contractors, guests, or members of the public, where such conduct:</w:t>
      </w:r>
    </w:p>
    <w:p w14:paraId="30D7999A" w14:textId="77777777" w:rsidR="00BA6E31" w:rsidRPr="00BA6E31" w:rsidRDefault="00BA6E31" w:rsidP="00BA6E31">
      <w:pPr>
        <w:numPr>
          <w:ilvl w:val="0"/>
          <w:numId w:val="1"/>
        </w:numPr>
        <w:spacing w:before="0" w:after="0"/>
        <w:rPr>
          <w:sz w:val="23"/>
          <w:szCs w:val="23"/>
        </w:rPr>
      </w:pPr>
      <w:r w:rsidRPr="00BA6E31">
        <w:rPr>
          <w:sz w:val="23"/>
          <w:szCs w:val="23"/>
        </w:rPr>
        <w:t xml:space="preserve">violates lawful venue policies or lawful instructions; </w:t>
      </w:r>
    </w:p>
    <w:p w14:paraId="5A2C8495" w14:textId="77777777" w:rsidR="00BA6E31" w:rsidRPr="00BA6E31" w:rsidRDefault="00BA6E31" w:rsidP="00BA6E31">
      <w:pPr>
        <w:numPr>
          <w:ilvl w:val="0"/>
          <w:numId w:val="1"/>
        </w:numPr>
        <w:spacing w:before="0" w:after="0"/>
        <w:rPr>
          <w:sz w:val="23"/>
          <w:szCs w:val="23"/>
        </w:rPr>
      </w:pPr>
      <w:r w:rsidRPr="00BA6E31">
        <w:rPr>
          <w:sz w:val="23"/>
          <w:szCs w:val="23"/>
        </w:rPr>
        <w:t xml:space="preserve">interferes with the orderly conduct of the tournament or use of the premises; </w:t>
      </w:r>
    </w:p>
    <w:p w14:paraId="78E72796" w14:textId="77777777" w:rsidR="00BA6E31" w:rsidRPr="00BA6E31" w:rsidRDefault="00BA6E31" w:rsidP="00BA6E31">
      <w:pPr>
        <w:numPr>
          <w:ilvl w:val="0"/>
          <w:numId w:val="1"/>
        </w:numPr>
        <w:spacing w:before="0" w:after="0"/>
        <w:rPr>
          <w:sz w:val="23"/>
          <w:szCs w:val="23"/>
        </w:rPr>
      </w:pPr>
      <w:r w:rsidRPr="00BA6E31">
        <w:rPr>
          <w:sz w:val="23"/>
          <w:szCs w:val="23"/>
        </w:rPr>
        <w:t xml:space="preserve">damages property or creates health or safety concerns; or </w:t>
      </w:r>
    </w:p>
    <w:p w14:paraId="56E68F11" w14:textId="77777777" w:rsidR="00BA6E31" w:rsidRPr="00BA6E31" w:rsidRDefault="00BA6E31" w:rsidP="00BA6E31">
      <w:pPr>
        <w:numPr>
          <w:ilvl w:val="0"/>
          <w:numId w:val="1"/>
        </w:numPr>
        <w:spacing w:before="0" w:after="0"/>
        <w:rPr>
          <w:sz w:val="23"/>
          <w:szCs w:val="23"/>
        </w:rPr>
      </w:pPr>
      <w:r w:rsidRPr="00BA6E31">
        <w:rPr>
          <w:sz w:val="23"/>
          <w:szCs w:val="23"/>
        </w:rPr>
        <w:t xml:space="preserve">harms, or reasonably could harm, the reputation, goodwill, or contractual relationships of the ACBL. </w:t>
      </w:r>
    </w:p>
    <w:p w14:paraId="5C010485" w14:textId="77777777" w:rsidR="00BA6E31" w:rsidRPr="00BA6E31" w:rsidRDefault="00BA6E31" w:rsidP="00BA6E31">
      <w:pPr>
        <w:rPr>
          <w:sz w:val="23"/>
          <w:szCs w:val="23"/>
        </w:rPr>
      </w:pPr>
      <w:r w:rsidRPr="00BA6E31">
        <w:rPr>
          <w:sz w:val="23"/>
          <w:szCs w:val="23"/>
        </w:rPr>
        <w:t>Examples of conduct that may fall within this regulation include, but are not limited to, harassment or abuse of restaurant, hotel, or venue personnel, disorderly conduct, smoking or vaping in prohibited areas, unsanitary conduct, intoxication-related disturbances, property damage, or repeated refusal to comply with venue rules.</w:t>
      </w:r>
    </w:p>
    <w:p w14:paraId="65FD66FD" w14:textId="76A1179D" w:rsidR="00BA6E31" w:rsidRDefault="00BA6E31" w:rsidP="00BA6E31">
      <w:pPr>
        <w:ind w:left="900" w:hanging="900"/>
        <w:rPr>
          <w:sz w:val="23"/>
          <w:szCs w:val="23"/>
        </w:rPr>
      </w:pPr>
      <w:r w:rsidRPr="00BA6E31">
        <w:rPr>
          <w:b/>
          <w:bCs/>
          <w:sz w:val="23"/>
          <w:szCs w:val="23"/>
        </w:rPr>
        <w:t>304</w:t>
      </w:r>
      <w:r w:rsidRPr="00BA6E31">
        <w:rPr>
          <w:b/>
          <w:bCs/>
          <w:sz w:val="23"/>
          <w:szCs w:val="23"/>
        </w:rPr>
        <w:t>(H)</w:t>
      </w:r>
      <w:r w:rsidRPr="00BA6E31">
        <w:rPr>
          <w:b/>
          <w:bCs/>
          <w:sz w:val="23"/>
          <w:szCs w:val="23"/>
        </w:rPr>
        <w:tab/>
        <w:t>Organizational</w:t>
      </w:r>
      <w:r w:rsidRPr="008B363C">
        <w:rPr>
          <w:b/>
          <w:bCs/>
          <w:sz w:val="23"/>
          <w:szCs w:val="23"/>
        </w:rPr>
        <w:t xml:space="preserve"> and Corporate Interest Violations</w:t>
      </w:r>
      <w:r w:rsidRPr="00C65306">
        <w:rPr>
          <w:sz w:val="23"/>
          <w:szCs w:val="23"/>
        </w:rPr>
        <w:t xml:space="preserve"> </w:t>
      </w:r>
    </w:p>
    <w:p w14:paraId="4C503090" w14:textId="77777777" w:rsidR="00BA6E31" w:rsidRPr="00BC7F86" w:rsidRDefault="00BA6E31" w:rsidP="00BA6E31">
      <w:pPr>
        <w:rPr>
          <w:sz w:val="23"/>
          <w:szCs w:val="23"/>
        </w:rPr>
      </w:pPr>
      <w:r w:rsidRPr="00BC7F86">
        <w:rPr>
          <w:sz w:val="23"/>
          <w:szCs w:val="23"/>
        </w:rPr>
        <w:t>A charge may be brought under this section for conduct that implicates significant organizational, legal, financial, reputational, or governance interests of the ACBL and its affiliated entities. Such matters may present substantial policy considerations, establish important organizational precedent, or involve issues relating to intellectual property, cybersecurity, electronic systems, confidentiality, institutional governance, fiduciary obligations, legal strategy, organizational security, or the protection of corporate assets.</w:t>
      </w:r>
    </w:p>
    <w:p w14:paraId="3B63DAC8" w14:textId="77777777" w:rsidR="00BA6E31" w:rsidRDefault="00BA6E31" w:rsidP="00BA6E31">
      <w:pPr>
        <w:rPr>
          <w:sz w:val="23"/>
          <w:szCs w:val="23"/>
        </w:rPr>
      </w:pPr>
      <w:r w:rsidRPr="00BC7F86">
        <w:rPr>
          <w:sz w:val="23"/>
          <w:szCs w:val="23"/>
        </w:rPr>
        <w:t>Conduct subject to this section includes, but is not limited to:</w:t>
      </w:r>
    </w:p>
    <w:p w14:paraId="51F9276A" w14:textId="77777777" w:rsidR="00BA6E31" w:rsidRPr="00BA6E31" w:rsidRDefault="00BA6E31" w:rsidP="00BA6E31">
      <w:pPr>
        <w:pStyle w:val="ListParagraph"/>
        <w:numPr>
          <w:ilvl w:val="0"/>
          <w:numId w:val="3"/>
        </w:numPr>
        <w:spacing w:before="0" w:after="0"/>
        <w:ind w:left="720"/>
        <w:rPr>
          <w:sz w:val="23"/>
          <w:szCs w:val="23"/>
        </w:rPr>
      </w:pPr>
      <w:r w:rsidRPr="00BA6E31">
        <w:rPr>
          <w:sz w:val="23"/>
          <w:szCs w:val="23"/>
        </w:rPr>
        <w:t xml:space="preserve">Sexual harassment of an employee of the ACBL, its Districts, or Units; </w:t>
      </w:r>
    </w:p>
    <w:p w14:paraId="5E69F13D" w14:textId="77777777" w:rsidR="00BA6E31" w:rsidRPr="00BA6E31" w:rsidRDefault="00BA6E31" w:rsidP="00BA6E31">
      <w:pPr>
        <w:pStyle w:val="ListParagraph"/>
        <w:numPr>
          <w:ilvl w:val="0"/>
          <w:numId w:val="3"/>
        </w:numPr>
        <w:spacing w:before="0" w:after="0"/>
        <w:ind w:left="720"/>
        <w:rPr>
          <w:sz w:val="23"/>
          <w:szCs w:val="23"/>
        </w:rPr>
      </w:pPr>
      <w:r w:rsidRPr="00BA6E31">
        <w:rPr>
          <w:sz w:val="23"/>
          <w:szCs w:val="23"/>
        </w:rPr>
        <w:t xml:space="preserve">Embezzlement or theft of monies or property belonging to the ACBL, its Districts, or Units; </w:t>
      </w:r>
    </w:p>
    <w:p w14:paraId="21588D66" w14:textId="77777777" w:rsidR="00BA6E31" w:rsidRPr="00BA6E31" w:rsidRDefault="00BA6E31" w:rsidP="00BA6E31">
      <w:pPr>
        <w:pStyle w:val="ListParagraph"/>
        <w:numPr>
          <w:ilvl w:val="0"/>
          <w:numId w:val="3"/>
        </w:numPr>
        <w:spacing w:before="0" w:after="0"/>
        <w:ind w:left="720"/>
        <w:rPr>
          <w:sz w:val="23"/>
          <w:szCs w:val="23"/>
        </w:rPr>
      </w:pPr>
      <w:r w:rsidRPr="00BA6E31">
        <w:rPr>
          <w:sz w:val="23"/>
          <w:szCs w:val="23"/>
        </w:rPr>
        <w:t xml:space="preserve">Cyber-attacks or intentional electronic disruptions, or attempts thereof, involving websites, networks, or electronic systems of the ACBL, its Districts, or Units; </w:t>
      </w:r>
    </w:p>
    <w:p w14:paraId="5D354C88" w14:textId="77777777" w:rsidR="00BA6E31" w:rsidRPr="00BA6E31" w:rsidRDefault="00BA6E31" w:rsidP="00BA6E31">
      <w:pPr>
        <w:pStyle w:val="ListParagraph"/>
        <w:numPr>
          <w:ilvl w:val="0"/>
          <w:numId w:val="3"/>
        </w:numPr>
        <w:spacing w:before="0" w:after="0"/>
        <w:ind w:left="720"/>
        <w:rPr>
          <w:sz w:val="23"/>
          <w:szCs w:val="23"/>
        </w:rPr>
      </w:pPr>
      <w:r w:rsidRPr="00BA6E31">
        <w:rPr>
          <w:sz w:val="23"/>
          <w:szCs w:val="23"/>
        </w:rPr>
        <w:lastRenderedPageBreak/>
        <w:t xml:space="preserve">Attempts to acquire, access, manipulate, or alter electronically stored information without authorization; </w:t>
      </w:r>
    </w:p>
    <w:p w14:paraId="60C5EC60" w14:textId="77777777" w:rsidR="00BA6E31" w:rsidRPr="00BA6E31" w:rsidRDefault="00BA6E31" w:rsidP="00BA6E31">
      <w:pPr>
        <w:pStyle w:val="ListParagraph"/>
        <w:numPr>
          <w:ilvl w:val="0"/>
          <w:numId w:val="3"/>
        </w:numPr>
        <w:spacing w:before="0" w:after="0"/>
        <w:ind w:left="720"/>
        <w:rPr>
          <w:sz w:val="23"/>
          <w:szCs w:val="23"/>
        </w:rPr>
      </w:pPr>
      <w:r w:rsidRPr="00BA6E31">
        <w:rPr>
          <w:sz w:val="23"/>
          <w:szCs w:val="23"/>
        </w:rPr>
        <w:t xml:space="preserve">Infringement of ACBL copyrights, trademarks, patents, or other intellectual property rights; </w:t>
      </w:r>
    </w:p>
    <w:p w14:paraId="2409F917" w14:textId="77777777" w:rsidR="00BA6E31" w:rsidRPr="00BA6E31" w:rsidRDefault="00BA6E31" w:rsidP="00BA6E31">
      <w:pPr>
        <w:pStyle w:val="ListParagraph"/>
        <w:numPr>
          <w:ilvl w:val="0"/>
          <w:numId w:val="3"/>
        </w:numPr>
        <w:spacing w:before="0" w:after="0"/>
        <w:ind w:left="720"/>
        <w:rPr>
          <w:strike/>
          <w:color w:val="EE0000"/>
          <w:sz w:val="23"/>
          <w:szCs w:val="23"/>
        </w:rPr>
      </w:pPr>
      <w:r w:rsidRPr="00BA6E31">
        <w:rPr>
          <w:strike/>
          <w:color w:val="EE0000"/>
          <w:sz w:val="23"/>
          <w:szCs w:val="23"/>
        </w:rPr>
        <w:t xml:space="preserve">Filing a civil action or arbitration against the ACBL without first exhausting available administrative remedies; </w:t>
      </w:r>
    </w:p>
    <w:p w14:paraId="2DA5B582" w14:textId="77777777" w:rsidR="00BA6E31" w:rsidRPr="00BA6E31" w:rsidRDefault="00BA6E31" w:rsidP="00BA6E31">
      <w:pPr>
        <w:pStyle w:val="ListParagraph"/>
        <w:numPr>
          <w:ilvl w:val="0"/>
          <w:numId w:val="3"/>
        </w:numPr>
        <w:spacing w:before="0" w:after="0"/>
        <w:ind w:left="720"/>
        <w:rPr>
          <w:sz w:val="23"/>
          <w:szCs w:val="23"/>
        </w:rPr>
      </w:pPr>
      <w:r w:rsidRPr="00BA6E31">
        <w:rPr>
          <w:sz w:val="23"/>
          <w:szCs w:val="23"/>
        </w:rPr>
        <w:t xml:space="preserve">Vandalism or deliberate destruction of property belonging to the ACBL, its Districts, or Units; or venue sites in which ACBL events are occurring. </w:t>
      </w:r>
    </w:p>
    <w:p w14:paraId="49310103" w14:textId="77777777" w:rsidR="00BA6E31" w:rsidRPr="00BA6E31" w:rsidRDefault="00BA6E31" w:rsidP="00BA6E31">
      <w:pPr>
        <w:pStyle w:val="ListParagraph"/>
        <w:numPr>
          <w:ilvl w:val="0"/>
          <w:numId w:val="3"/>
        </w:numPr>
        <w:spacing w:before="0" w:after="0"/>
        <w:ind w:left="720"/>
        <w:rPr>
          <w:sz w:val="23"/>
          <w:szCs w:val="23"/>
        </w:rPr>
      </w:pPr>
      <w:r w:rsidRPr="00BA6E31">
        <w:rPr>
          <w:sz w:val="23"/>
          <w:szCs w:val="23"/>
        </w:rPr>
        <w:t>Unauthorized disclosure of confidential or proprietary information belonging to the ACBL, its Districts, or Units.</w:t>
      </w:r>
    </w:p>
    <w:p w14:paraId="7800A02F" w14:textId="77777777" w:rsidR="00BA6E31" w:rsidRPr="00BA6E31" w:rsidRDefault="00BA6E31" w:rsidP="00BA6E31">
      <w:pPr>
        <w:pStyle w:val="ListParagraph"/>
        <w:numPr>
          <w:ilvl w:val="0"/>
          <w:numId w:val="3"/>
        </w:numPr>
        <w:spacing w:before="0" w:after="0"/>
        <w:ind w:left="720"/>
        <w:rPr>
          <w:sz w:val="23"/>
          <w:szCs w:val="23"/>
        </w:rPr>
      </w:pPr>
      <w:r w:rsidRPr="00BA6E31">
        <w:rPr>
          <w:sz w:val="23"/>
          <w:szCs w:val="23"/>
        </w:rPr>
        <w:t>Any other conduct that materially implicates the organizational, legal, financial, operational, reputational, technological, governance, or fiduciary interests of the ACBL, its Districts, or Units, or that the Executive Director (or designee) determines presents significant institutional risk, policy considerations, or precedent-setting implications warranting review under this section.</w:t>
      </w:r>
    </w:p>
    <w:p w14:paraId="2E1754BC" w14:textId="77777777" w:rsidR="00BA6E31" w:rsidRPr="00F40811" w:rsidRDefault="00BA6E31" w:rsidP="00BA6E31">
      <w:pPr>
        <w:rPr>
          <w:sz w:val="23"/>
          <w:szCs w:val="23"/>
        </w:rPr>
      </w:pPr>
    </w:p>
    <w:p w14:paraId="556A073E" w14:textId="501A71C9" w:rsidR="00BA6E31" w:rsidRDefault="00BA6E31"/>
    <w:p w14:paraId="4E861653" w14:textId="77777777" w:rsidR="00BA6E31" w:rsidRDefault="00BA6E31"/>
    <w:sectPr w:rsidR="00BA6E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A7BC4"/>
    <w:multiLevelType w:val="hybridMultilevel"/>
    <w:tmpl w:val="0076F0E4"/>
    <w:lvl w:ilvl="0" w:tplc="06EE156E">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83C1C11"/>
    <w:multiLevelType w:val="multilevel"/>
    <w:tmpl w:val="C7826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AA4B93"/>
    <w:multiLevelType w:val="multilevel"/>
    <w:tmpl w:val="005AE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43970239">
    <w:abstractNumId w:val="2"/>
    <w:lvlOverride w:ilvl="0"/>
    <w:lvlOverride w:ilvl="1"/>
    <w:lvlOverride w:ilvl="2"/>
    <w:lvlOverride w:ilvl="3"/>
    <w:lvlOverride w:ilvl="4"/>
    <w:lvlOverride w:ilvl="5"/>
    <w:lvlOverride w:ilvl="6"/>
    <w:lvlOverride w:ilvl="7"/>
    <w:lvlOverride w:ilvl="8"/>
  </w:num>
  <w:num w:numId="2" w16cid:durableId="1401900305">
    <w:abstractNumId w:val="1"/>
  </w:num>
  <w:num w:numId="3" w16cid:durableId="56257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31"/>
    <w:rsid w:val="0031558E"/>
    <w:rsid w:val="003C6808"/>
    <w:rsid w:val="005C33D8"/>
    <w:rsid w:val="0062285D"/>
    <w:rsid w:val="00BA6E31"/>
    <w:rsid w:val="00BF1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2307A"/>
  <w15:chartTrackingRefBased/>
  <w15:docId w15:val="{C9A6B71E-9662-4EC0-AB07-BEDC4BDB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E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E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E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E31"/>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E31"/>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E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E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E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E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E31"/>
    <w:rPr>
      <w:rFonts w:eastAsiaTheme="majorEastAsia" w:cstheme="majorBidi"/>
      <w:color w:val="272727" w:themeColor="text1" w:themeTint="D8"/>
    </w:rPr>
  </w:style>
  <w:style w:type="paragraph" w:styleId="Title">
    <w:name w:val="Title"/>
    <w:basedOn w:val="Normal"/>
    <w:next w:val="Normal"/>
    <w:link w:val="TitleChar"/>
    <w:uiPriority w:val="10"/>
    <w:qFormat/>
    <w:rsid w:val="00BA6E31"/>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E3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E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6E31"/>
    <w:rPr>
      <w:i/>
      <w:iCs/>
      <w:color w:val="404040" w:themeColor="text1" w:themeTint="BF"/>
    </w:rPr>
  </w:style>
  <w:style w:type="paragraph" w:styleId="ListParagraph">
    <w:name w:val="List Paragraph"/>
    <w:basedOn w:val="Normal"/>
    <w:uiPriority w:val="34"/>
    <w:qFormat/>
    <w:rsid w:val="00BA6E31"/>
    <w:pPr>
      <w:ind w:left="720"/>
      <w:contextualSpacing/>
    </w:pPr>
  </w:style>
  <w:style w:type="character" w:styleId="IntenseEmphasis">
    <w:name w:val="Intense Emphasis"/>
    <w:basedOn w:val="DefaultParagraphFont"/>
    <w:uiPriority w:val="21"/>
    <w:qFormat/>
    <w:rsid w:val="00BA6E31"/>
    <w:rPr>
      <w:i/>
      <w:iCs/>
      <w:color w:val="0F4761" w:themeColor="accent1" w:themeShade="BF"/>
    </w:rPr>
  </w:style>
  <w:style w:type="paragraph" w:styleId="IntenseQuote">
    <w:name w:val="Intense Quote"/>
    <w:basedOn w:val="Normal"/>
    <w:next w:val="Normal"/>
    <w:link w:val="IntenseQuoteChar"/>
    <w:uiPriority w:val="30"/>
    <w:qFormat/>
    <w:rsid w:val="00BA6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E31"/>
    <w:rPr>
      <w:i/>
      <w:iCs/>
      <w:color w:val="0F4761" w:themeColor="accent1" w:themeShade="BF"/>
    </w:rPr>
  </w:style>
  <w:style w:type="character" w:styleId="IntenseReference">
    <w:name w:val="Intense Reference"/>
    <w:basedOn w:val="DefaultParagraphFont"/>
    <w:uiPriority w:val="32"/>
    <w:qFormat/>
    <w:rsid w:val="00BA6E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564</Words>
  <Characters>3016</Characters>
  <Application>Microsoft Office Word</Application>
  <DocSecurity>0</DocSecurity>
  <Lines>94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Goley</dc:creator>
  <cp:keywords/>
  <dc:description/>
  <cp:lastModifiedBy>Sabrina Goley</cp:lastModifiedBy>
  <cp:revision>1</cp:revision>
  <dcterms:created xsi:type="dcterms:W3CDTF">2026-05-22T19:24:00Z</dcterms:created>
  <dcterms:modified xsi:type="dcterms:W3CDTF">2026-05-22T21:16:00Z</dcterms:modified>
</cp:coreProperties>
</file>